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744EB" w14:textId="77777777" w:rsidR="004258EE" w:rsidRPr="004258EE" w:rsidRDefault="004258EE" w:rsidP="00CE2F00">
      <w:pPr>
        <w:widowControl w:val="0"/>
        <w:autoSpaceDE w:val="0"/>
        <w:jc w:val="right"/>
        <w:rPr>
          <w:rFonts w:ascii="Bookman Old Style" w:hAnsi="Bookman Old Style"/>
          <w:sz w:val="20"/>
        </w:rPr>
      </w:pPr>
      <w:r w:rsidRPr="004258EE">
        <w:rPr>
          <w:rFonts w:ascii="Bookman Old Style" w:hAnsi="Bookman Old Style"/>
          <w:sz w:val="20"/>
        </w:rPr>
        <w:t>Ju</w:t>
      </w:r>
      <w:r w:rsidR="002923B8">
        <w:rPr>
          <w:rFonts w:ascii="Bookman Old Style" w:hAnsi="Bookman Old Style"/>
          <w:sz w:val="20"/>
        </w:rPr>
        <w:t>nio</w:t>
      </w:r>
      <w:r w:rsidRPr="004258EE">
        <w:rPr>
          <w:rFonts w:ascii="Bookman Old Style" w:hAnsi="Bookman Old Style"/>
          <w:sz w:val="20"/>
        </w:rPr>
        <w:t xml:space="preserve"> 202</w:t>
      </w:r>
      <w:r w:rsidR="002923B8">
        <w:rPr>
          <w:rFonts w:ascii="Bookman Old Style" w:hAnsi="Bookman Old Style"/>
          <w:sz w:val="20"/>
        </w:rPr>
        <w:t>1</w:t>
      </w:r>
    </w:p>
    <w:p w14:paraId="25EB8D8A" w14:textId="77777777" w:rsidR="004258EE" w:rsidRDefault="004258EE" w:rsidP="00CE2F00">
      <w:pPr>
        <w:widowControl w:val="0"/>
        <w:autoSpaceDE w:val="0"/>
        <w:jc w:val="center"/>
        <w:rPr>
          <w:rFonts w:ascii="Bookman Old Style" w:hAnsi="Bookman Old Style"/>
        </w:rPr>
      </w:pPr>
    </w:p>
    <w:p w14:paraId="58A1BA61" w14:textId="77777777" w:rsidR="006C543C" w:rsidRPr="00C622C3" w:rsidRDefault="004258EE" w:rsidP="00CE2F00">
      <w:pPr>
        <w:widowControl w:val="0"/>
        <w:autoSpaceDE w:val="0"/>
        <w:jc w:val="center"/>
        <w:rPr>
          <w:rFonts w:ascii="Bookman Old Style" w:hAnsi="Bookman Old Style"/>
          <w:b/>
        </w:rPr>
      </w:pPr>
      <w:r w:rsidRPr="00C622C3">
        <w:rPr>
          <w:rFonts w:ascii="Bookman Old Style" w:hAnsi="Bookman Old Style"/>
          <w:b/>
        </w:rPr>
        <w:t>ACTUALIZACIÓN AL MANUAL</w:t>
      </w:r>
    </w:p>
    <w:p w14:paraId="4F77ED82" w14:textId="77777777" w:rsidR="004258EE" w:rsidRPr="00C622C3" w:rsidRDefault="004258EE" w:rsidP="00CE2F00">
      <w:pPr>
        <w:widowControl w:val="0"/>
        <w:autoSpaceDE w:val="0"/>
        <w:jc w:val="center"/>
        <w:rPr>
          <w:rFonts w:ascii="Bookman Old Style" w:hAnsi="Bookman Old Style"/>
          <w:b/>
        </w:rPr>
      </w:pPr>
      <w:r w:rsidRPr="00C622C3">
        <w:rPr>
          <w:rFonts w:ascii="Bookman Old Style" w:hAnsi="Bookman Old Style"/>
          <w:b/>
        </w:rPr>
        <w:t>“DERECHO PROCESAL PENAL”</w:t>
      </w:r>
      <w:r w:rsidR="002923B8">
        <w:rPr>
          <w:rFonts w:ascii="Bookman Old Style" w:hAnsi="Bookman Old Style"/>
          <w:b/>
        </w:rPr>
        <w:t xml:space="preserve"> (3ª Ed.)</w:t>
      </w:r>
    </w:p>
    <w:p w14:paraId="46DF7F00" w14:textId="77777777" w:rsidR="004258EE" w:rsidRPr="00AF67E7" w:rsidRDefault="004258EE" w:rsidP="00CE2F00">
      <w:pPr>
        <w:widowControl w:val="0"/>
        <w:autoSpaceDE w:val="0"/>
        <w:jc w:val="center"/>
        <w:rPr>
          <w:rFonts w:ascii="Bookman Old Style" w:hAnsi="Bookman Old Style"/>
        </w:rPr>
      </w:pPr>
    </w:p>
    <w:p w14:paraId="0717F6A0" w14:textId="77777777" w:rsidR="004258EE" w:rsidRPr="002923B8" w:rsidRDefault="003B0C21" w:rsidP="00CE2F00">
      <w:pPr>
        <w:widowControl w:val="0"/>
        <w:autoSpaceDE w:val="0"/>
        <w:jc w:val="both"/>
        <w:rPr>
          <w:rFonts w:ascii="Bookman Old Style" w:hAnsi="Bookman Old Style"/>
        </w:rPr>
      </w:pPr>
      <w:r>
        <w:rPr>
          <w:rFonts w:ascii="Garamond" w:hAnsi="Garamond"/>
          <w:sz w:val="26"/>
          <w:szCs w:val="26"/>
        </w:rPr>
        <w:tab/>
      </w:r>
      <w:r w:rsidRPr="00AF67E7">
        <w:rPr>
          <w:rFonts w:ascii="Bookman Old Style" w:hAnsi="Bookman Old Style"/>
        </w:rPr>
        <w:t xml:space="preserve">El Boletín Oficial del Estado de </w:t>
      </w:r>
      <w:r w:rsidR="002923B8">
        <w:rPr>
          <w:rFonts w:ascii="Bookman Old Style" w:hAnsi="Bookman Old Style"/>
        </w:rPr>
        <w:t>5</w:t>
      </w:r>
      <w:r w:rsidRPr="00AF67E7">
        <w:rPr>
          <w:rFonts w:ascii="Bookman Old Style" w:hAnsi="Bookman Old Style"/>
        </w:rPr>
        <w:t xml:space="preserve"> de ju</w:t>
      </w:r>
      <w:r w:rsidR="002923B8">
        <w:rPr>
          <w:rFonts w:ascii="Bookman Old Style" w:hAnsi="Bookman Old Style"/>
        </w:rPr>
        <w:t>n</w:t>
      </w:r>
      <w:r w:rsidRPr="00AF67E7">
        <w:rPr>
          <w:rFonts w:ascii="Bookman Old Style" w:hAnsi="Bookman Old Style"/>
        </w:rPr>
        <w:t>io de 202</w:t>
      </w:r>
      <w:r w:rsidR="002923B8">
        <w:rPr>
          <w:rFonts w:ascii="Bookman Old Style" w:hAnsi="Bookman Old Style"/>
        </w:rPr>
        <w:t>1</w:t>
      </w:r>
      <w:r w:rsidR="00AF67E7" w:rsidRPr="00AF67E7">
        <w:rPr>
          <w:rFonts w:ascii="Bookman Old Style" w:hAnsi="Bookman Old Style"/>
        </w:rPr>
        <w:t xml:space="preserve"> publica la </w:t>
      </w:r>
      <w:r w:rsidR="00AF67E7" w:rsidRPr="00AF67E7">
        <w:rPr>
          <w:rFonts w:ascii="Bookman Old Style" w:hAnsi="Bookman Old Style"/>
          <w:i/>
        </w:rPr>
        <w:t>Ley</w:t>
      </w:r>
      <w:r w:rsidR="002923B8">
        <w:rPr>
          <w:rFonts w:ascii="Bookman Old Style" w:hAnsi="Bookman Old Style"/>
          <w:i/>
        </w:rPr>
        <w:t xml:space="preserve"> Orgánica</w:t>
      </w:r>
      <w:r w:rsidR="00AF67E7" w:rsidRPr="00AF67E7">
        <w:rPr>
          <w:rFonts w:ascii="Bookman Old Style" w:hAnsi="Bookman Old Style"/>
          <w:i/>
        </w:rPr>
        <w:t xml:space="preserve"> </w:t>
      </w:r>
      <w:r w:rsidR="002923B8">
        <w:rPr>
          <w:rFonts w:ascii="Bookman Old Style" w:hAnsi="Bookman Old Style"/>
          <w:i/>
        </w:rPr>
        <w:t>8</w:t>
      </w:r>
      <w:r w:rsidR="00AF67E7" w:rsidRPr="00AF67E7">
        <w:rPr>
          <w:rFonts w:ascii="Bookman Old Style" w:hAnsi="Bookman Old Style"/>
          <w:i/>
        </w:rPr>
        <w:t>/202</w:t>
      </w:r>
      <w:r w:rsidR="002923B8">
        <w:rPr>
          <w:rFonts w:ascii="Bookman Old Style" w:hAnsi="Bookman Old Style"/>
          <w:i/>
        </w:rPr>
        <w:t>1</w:t>
      </w:r>
      <w:r w:rsidR="00AF67E7" w:rsidRPr="00AF67E7">
        <w:rPr>
          <w:rFonts w:ascii="Bookman Old Style" w:hAnsi="Bookman Old Style"/>
          <w:i/>
        </w:rPr>
        <w:t xml:space="preserve">, </w:t>
      </w:r>
      <w:r w:rsidR="002923B8">
        <w:rPr>
          <w:rFonts w:ascii="Bookman Old Style" w:hAnsi="Bookman Old Style"/>
          <w:i/>
        </w:rPr>
        <w:t xml:space="preserve">de protección integral a la infancia y la adolescencia frente a la violencia,  </w:t>
      </w:r>
      <w:r w:rsidR="002923B8" w:rsidRPr="002923B8">
        <w:rPr>
          <w:rFonts w:ascii="Bookman Old Style" w:hAnsi="Bookman Old Style"/>
        </w:rPr>
        <w:t xml:space="preserve">que modifica diversos artículos </w:t>
      </w:r>
      <w:r w:rsidR="00AF67E7" w:rsidRPr="002923B8">
        <w:rPr>
          <w:rFonts w:ascii="Bookman Old Style" w:hAnsi="Bookman Old Style"/>
        </w:rPr>
        <w:t xml:space="preserve">de la Ley de Enjuiciamiento Criminal. </w:t>
      </w:r>
    </w:p>
    <w:p w14:paraId="3D5D0083" w14:textId="77777777" w:rsidR="004258EE" w:rsidRPr="002923B8" w:rsidRDefault="004258EE" w:rsidP="00CE2F00">
      <w:pPr>
        <w:widowControl w:val="0"/>
        <w:autoSpaceDE w:val="0"/>
        <w:jc w:val="both"/>
        <w:rPr>
          <w:rFonts w:ascii="Bookman Old Style" w:hAnsi="Bookman Old Style"/>
          <w:lang w:val="es-ES"/>
        </w:rPr>
      </w:pPr>
    </w:p>
    <w:p w14:paraId="33E977C2" w14:textId="77777777" w:rsidR="00AF67E7" w:rsidRDefault="004258EE" w:rsidP="00CE2F00">
      <w:pPr>
        <w:widowControl w:val="0"/>
        <w:autoSpaceDE w:val="0"/>
        <w:jc w:val="both"/>
        <w:rPr>
          <w:rFonts w:ascii="Bookman Old Style" w:hAnsi="Bookman Old Style"/>
          <w:lang w:val="es-ES"/>
        </w:rPr>
      </w:pPr>
      <w:r>
        <w:rPr>
          <w:rFonts w:ascii="Bookman Old Style" w:hAnsi="Bookman Old Style"/>
          <w:lang w:val="es-ES"/>
        </w:rPr>
        <w:tab/>
      </w:r>
      <w:r w:rsidR="00AF67E7" w:rsidRPr="00AF67E7">
        <w:rPr>
          <w:rFonts w:ascii="Bookman Old Style" w:hAnsi="Bookman Old Style"/>
          <w:lang w:val="es-ES"/>
        </w:rPr>
        <w:t>El texto es el siguiente:</w:t>
      </w:r>
    </w:p>
    <w:p w14:paraId="1EA422F9" w14:textId="77777777" w:rsidR="002923B8" w:rsidRPr="000C5BEC" w:rsidRDefault="002923B8" w:rsidP="00CE2F00">
      <w:pPr>
        <w:shd w:val="clear" w:color="auto" w:fill="FFFFFF"/>
        <w:suppressAutoHyphens w:val="0"/>
        <w:spacing w:before="360" w:after="180"/>
        <w:jc w:val="both"/>
        <w:outlineLvl w:val="4"/>
        <w:rPr>
          <w:rFonts w:ascii="Verdana" w:hAnsi="Verdana"/>
          <w:b/>
          <w:bCs/>
          <w:color w:val="000000"/>
          <w:sz w:val="20"/>
          <w:szCs w:val="20"/>
          <w:lang w:val="es-ES" w:eastAsia="es-ES"/>
        </w:rPr>
      </w:pPr>
      <w:r w:rsidRPr="000C5BEC">
        <w:rPr>
          <w:rFonts w:ascii="Verdana" w:hAnsi="Verdana"/>
          <w:b/>
          <w:bCs/>
          <w:color w:val="000000"/>
          <w:sz w:val="20"/>
          <w:szCs w:val="20"/>
          <w:lang w:val="es-ES" w:eastAsia="es-ES"/>
        </w:rPr>
        <w:br/>
        <w:t>Disposición final primera. Modificación de la Ley de Enjuiciamiento Criminal, aprobada por Real Decreto de 14 de septiembre de 1882.</w:t>
      </w:r>
    </w:p>
    <w:p w14:paraId="19DE679A" w14:textId="77777777" w:rsidR="002923B8" w:rsidRPr="000C5BEC" w:rsidRDefault="002923B8" w:rsidP="00CE2F00">
      <w:pPr>
        <w:shd w:val="clear" w:color="auto" w:fill="FFFFFF"/>
        <w:suppressAutoHyphens w:val="0"/>
        <w:spacing w:before="18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La Ley de Enjuiciamiento Criminal, aprobada por Real Decreto de 14 de septiembre de 1882, queda modificada en los siguientes términos:</w:t>
      </w:r>
    </w:p>
    <w:p w14:paraId="04393AD1"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Uno. Se modifica el primer párrafo del apartado 1 del artículo 109 bis, que queda redactado como sigue:</w:t>
      </w:r>
    </w:p>
    <w:p w14:paraId="22921C6D"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109 bis.</w:t>
      </w:r>
    </w:p>
    <w:p w14:paraId="5A59336C"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1. Las víctimas del delito que no hubieran renunciado a su derecho podrán ejercer la acción penal en cualquier momento antes del trámite de calificación del delito, si bien ello no permitirá retrotraer ni reiterar las actuaciones ya practicadas antes de su personación. Si se personasen una vez transcurrido el término para formular escrito de acusación podrán ejercitar la acción penal hasta el inicio del juicio oral adhiriéndose al escrito de acusación formulado por el Ministerio Fiscal o del resto de las acusaciones personadas.»</w:t>
      </w:r>
    </w:p>
    <w:p w14:paraId="2B16AE6C"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Dos. Se modifica el artículo 110 que queda redactado como sigue:</w:t>
      </w:r>
    </w:p>
    <w:p w14:paraId="202E2633"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110.</w:t>
      </w:r>
    </w:p>
    <w:p w14:paraId="257C3883"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Las personas perjudicadas por un delito que no hubieren renunciado a su derecho podrán mostrarse parte en la causa si lo hicieran antes del trámite de calificación del delito y ejercitar las acciones civiles que procedan, según les conviniere, sin que por ello se retroceda en el curso de las actuaciones. Si se personasen una vez transcurrido el término para formular escrito de acusación podrán ejercitar la acción penal hasta el inicio del juicio oral adhiriéndose al escrito de acusación formulado por el Ministerio Fiscal o del resto de las acusaciones personadas.</w:t>
      </w:r>
    </w:p>
    <w:p w14:paraId="2990C618"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Aun cuando las personas perjudicadas no se muestren parte en la causa, no por esto se entiende que renuncian al derecho de restitución, reparación o indemnización que a su favor puede acordarse en sentencia firme, siendo necesario que la renuncia de este derecho se haga en su caso de una manera clara y terminante.»</w:t>
      </w:r>
    </w:p>
    <w:p w14:paraId="320C4BA7"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Tres. Se modifica el artículo 261, que queda redactado como sigue:</w:t>
      </w:r>
    </w:p>
    <w:p w14:paraId="1CBF23B5"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lastRenderedPageBreak/>
        <w:t>«Artículo 261.</w:t>
      </w:r>
    </w:p>
    <w:p w14:paraId="6BC988A7"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Tampoco estarán obligados a denunciar:</w:t>
      </w:r>
    </w:p>
    <w:p w14:paraId="2D8C6DD3"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1.º Quien sea cónyuge del delincuente no separado legalmente o de hecho o la persona que conviva con él en análoga relación de afectividad.</w:t>
      </w:r>
    </w:p>
    <w:p w14:paraId="7F5DF491"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2.º Quienes sean ascendientes y descendientes del delincuente y sus parientes colaterales hasta el segundo grado inclusive.</w:t>
      </w:r>
    </w:p>
    <w:p w14:paraId="527C525D"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Esta disposición no será aplicable cuando se trate de un delito contra la vida, de un delito de homicidio, de un delito de lesiones de los artículos 149 y 150 del Código Penal, de un delito de maltrato habitual previsto en el artículo 173.2 del Código Penal, de un delito contra la libertad o contra la libertad e indemnidad sexual o de un delito de trata de seres humanos y la víctima del delito sea una persona menor de edad o una persona con discapacidad necesitada de especial protección.»</w:t>
      </w:r>
    </w:p>
    <w:p w14:paraId="0670A503"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Cuatro. Se modifica el apartado primero del artículo 416, que queda redactado como sigue:</w:t>
      </w:r>
    </w:p>
    <w:p w14:paraId="2A7714CB"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«Están dispensados de la obligación de declarar:</w:t>
      </w:r>
    </w:p>
    <w:p w14:paraId="35658C22"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1. Los parientes del procesado en líneas directa ascendente y descendente, su cónyuge o persona unida por relación de hecho análoga a la matrimonial, sus hermanos consanguíneos o uterinos y los colaterales consanguíneos hasta el segundo grado civil. El Juez instructor advertirá al testigo que se halle comprendido en el párrafo anterior que no tiene obligación de declarar en contra del procesado; pero que puede hacer las manifestaciones que considere oportunas, y el Letrado de la Administración de Justicia consignará la contestación que diere a esta advertencia.</w:t>
      </w:r>
    </w:p>
    <w:p w14:paraId="13BDCCC5"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Lo dispuesto en el apartado anterior no será de aplicación en los siguientes casos:</w:t>
      </w:r>
    </w:p>
    <w:p w14:paraId="736561ED"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1.º Cuando el testigo tenga atribuida la representación legal o guarda de hecho de la víctima menor de edad o con discapacidad necesitada de especial protección.</w:t>
      </w:r>
    </w:p>
    <w:p w14:paraId="136AC26D"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2.º Cuando se trate de un delito grave, el testigo sea mayor de edad y la víctima sea una persona menor de edad o una persona con discapacidad necesitada de especial protección.</w:t>
      </w:r>
    </w:p>
    <w:p w14:paraId="01B196DC"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3.º Cuando por razón de su edad o discapacidad el testigo no pueda comprender el sentido de la dispensa. A tal efecto, el Juez oirá previamente a la persona afectada, pudiendo recabar el auxilio de peritos para resolver.</w:t>
      </w:r>
    </w:p>
    <w:p w14:paraId="14F51F6F"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4.º Cuando el testigo esté o haya estado personado en el procedimiento como acusación particular.</w:t>
      </w:r>
    </w:p>
    <w:p w14:paraId="1AC3B0EF"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5.º Cuando el testigo haya aceptado declarar durante el procedimiento después de haber sido debidamente informado de su derecho a no hacerlo.»</w:t>
      </w:r>
    </w:p>
    <w:p w14:paraId="60676F81"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Cinco. Se suprime el párrafo cuarto del artículo 433.</w:t>
      </w:r>
    </w:p>
    <w:p w14:paraId="7B2D87EB" w14:textId="77777777" w:rsidR="002923B8" w:rsidRPr="000C5BEC" w:rsidRDefault="002923B8" w:rsidP="00CE2F00">
      <w:pPr>
        <w:shd w:val="clear" w:color="auto" w:fill="FFFFFF"/>
        <w:suppressAutoHyphens w:val="0"/>
        <w:spacing w:before="18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Seis. Se suprime el párrafo tercero del artículo 448.</w:t>
      </w:r>
    </w:p>
    <w:p w14:paraId="1CC43D55" w14:textId="77777777" w:rsidR="002923B8" w:rsidRPr="000C5BEC" w:rsidRDefault="002923B8" w:rsidP="00CE2F00">
      <w:pPr>
        <w:shd w:val="clear" w:color="auto" w:fill="FFFFFF"/>
        <w:suppressAutoHyphens w:val="0"/>
        <w:spacing w:before="18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lastRenderedPageBreak/>
        <w:t>Siete. Se introduce un artículo 449 bis con el siguiente contenido:</w:t>
      </w:r>
    </w:p>
    <w:p w14:paraId="2F719C34"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449 bis.</w:t>
      </w:r>
    </w:p>
    <w:p w14:paraId="348244D1"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Cuando, en los casos legalmente previstos, la autoridad judicial acuerde la práctica de la declaración del testigo como prueba preconstituida, la misma deberá desarrollarse de conformidad con los requisitos establecidos en este artículo.</w:t>
      </w:r>
    </w:p>
    <w:p w14:paraId="0496DC2C"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La autoridad judicial garantizará el principio de contradicción en la práctica de la declaración. La ausencia de la persona investigada debidamente citada no impedirá la práctica de la prueba preconstituida, si bien su defensa letrada, en todo caso, deberá estar presente. En caso de incomparecencia injustificada del defensor de la persona investigada o cuando haya razones de urgencia para proceder inmediatamente, el acto se sustanciará con el abogado de oficio expresamente designado al efecto.</w:t>
      </w:r>
    </w:p>
    <w:p w14:paraId="2A893A16"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La autoridad judicial asegurará la documentación de la declaración en soporte apto para la grabación del sonido y la imagen, debiendo el Letrado de la Administración de Justicia, de forma inmediata, comprobar la calidad de la grabación audiovisual. Se acompañará acta sucinta autorizada por el Letrado de la Administración de Justicia, que contendrá la identificación y firma de todas las personas intervinientes en la prueba preconstituida.</w:t>
      </w:r>
    </w:p>
    <w:p w14:paraId="6D861703"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Para la valoración de la prueba preconstituida obtenida conforme a lo previsto en los párrafos anteriores, se estará a lo dispuesto en el artículo 730.2.»</w:t>
      </w:r>
    </w:p>
    <w:p w14:paraId="4C2DB0B2"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Ocho. Se introduce un artículo 449 ter con el siguiente contenido:</w:t>
      </w:r>
    </w:p>
    <w:p w14:paraId="0FE07801"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449 ter.</w:t>
      </w:r>
    </w:p>
    <w:p w14:paraId="316881F3"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Cuando una persona menor de catorce años o una persona con discapacidad necesitada de especial protección deba intervenir en condición de testigo en un procedimiento judicial que tenga por objeto la instrucción de un delito de homicidio, lesiones, contra la libertad, contra la integridad moral, trata de seres humanos, contra la libertad e indemnidad sexuales, contra la intimidad, contra las relaciones familiares, relativos al ejercicio de derechos fundamentales y libertades públicas, de organizaciones y grupos criminales y terroristas y de terrorismo, la autoridad judicial acordará, en todo caso, practicar la audiencia del menor como prueba preconstituida, con todas las garantías de la práctica de prueba en el juicio oral y de conformidad con lo establecido en el artículo anterior. Este proceso se realizará con todas las garantías de accesibilidad y apoyos necesarios.</w:t>
      </w:r>
    </w:p>
    <w:p w14:paraId="114E1AFA"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 xml:space="preserve">La autoridad judicial podrá acordar que la audiencia del menor de catorce años se practique a través de equipos psicosociales que apoyarán al Tribunal de manera interdisciplinar e interinstitucional, recogiendo el trabajo de los profesionales que hayan intervenido anteriormente y estudiando las circunstancias personales, familiares y sociales de la persona menor o con discapacidad, para mejorar el tratamiento de los mismos y el rendimiento de la prueba. En este caso, las partes trasladarán a la autoridad judicial las preguntas que estimen oportunas quien, previo control de su pertinencia y utilidad, se las facilitará a las personas expertas. Una vez realizada la audiencia del menor, las partes podrán interesar, en los mismos términos, aclaraciones al testigo. La declaración siempre será grabada y el </w:t>
      </w:r>
      <w:r w:rsidRPr="000C5BEC">
        <w:rPr>
          <w:rFonts w:ascii="Verdana" w:hAnsi="Verdana"/>
          <w:color w:val="000000"/>
          <w:sz w:val="20"/>
          <w:szCs w:val="20"/>
          <w:lang w:val="es-ES" w:eastAsia="es-ES"/>
        </w:rPr>
        <w:lastRenderedPageBreak/>
        <w:t>Juez, previa audiencia de las partes, podrá recabar del perito un informe dando cuenta del desarrollo y resultado de la audiencia del menor.</w:t>
      </w:r>
    </w:p>
    <w:p w14:paraId="7C6D982C"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Para el supuesto de que la persona investigada estuviere presente en la audiencia del menor se evitará su confrontación visual con el testigo, utilizando para ello, si fuese necesario, cualquier medio técnico.</w:t>
      </w:r>
    </w:p>
    <w:p w14:paraId="1373C866"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Las medidas previstas en este artículo podrán ser aplicables cuando el delito tenga la consideración de leve.»</w:t>
      </w:r>
    </w:p>
    <w:p w14:paraId="5BDBA0A2"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Nueve. Se modifican los apartados 6 y 7 del artículo 544 ter, que quedan redactados como sigue:</w:t>
      </w:r>
    </w:p>
    <w:p w14:paraId="13AE4DCE"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«6. Las medidas cautelares de carácter penal podrán consistir en cualesquiera de las previstas en la legislación procesal criminal. Sus requisitos, contenido y vigencia serán los establecidos con carácter general en esta ley. Se adoptarán por el Juez de instrucción atendiendo a la necesidad de protección integral e inmediata de la víctima y, en su caso, de las personas sometidas a su patria potestad, tutela, curatela, guarda o acogimiento.</w:t>
      </w:r>
    </w:p>
    <w:p w14:paraId="20EBA158"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7. Las medidas de naturaleza civil deberán ser solicitadas por la víctima o su representante legal, o bien por el Ministerio Fiscal cuando existan hijos menores o personas con la capacidad judicialmente modificada, determinando su régimen de cumplimiento y, si procediera, las medidas complementarias a ellas que fueran precisas, siempre que no hubieran sido previamente acordadas por un órgano del orden jurisdiccional civil, y sin perjuicio de las medidas previstas en el artículo 158 del Código Civil. Cuando existan menores o personas con discapacidad necesitadas de especial protección que convivan con la víctima y dependan de ella, el Juez deberá pronunciarse en todo caso, incluso de oficio, sobre la pertenencia de la adopción de las referidas medidas.</w:t>
      </w:r>
    </w:p>
    <w:p w14:paraId="0A9967B7"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Estas medidas podrán consistir en la forma en que se ejercerá la patria potestad, acogimiento, tutela, curatela o guarda de hecho, atribución del uso y disfrute de la vivienda familiar, determinar el régimen de guarda y custodia, suspensión o mantenimiento del régimen de visitas, comunicación y estancia con los menores o personas con discapacidad necesitadas de especial protección, el régimen de prestación de alimentos, así como cualquier disposición que se considere oportuna a fin de apartarles de un peligro o de evitarles perjuicios.</w:t>
      </w:r>
    </w:p>
    <w:p w14:paraId="3A2C9A8B"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Cuando se dicte una orden de protección con medidas de contenido penal y existieran indicios fundados de que los hijos e hijas menores de edad hubieran presenciado, sufrido o convivido con la violencia a la que se refiere el apartado 1 de este artículo, la autoridad judicial, de oficio o a instancia de parte, suspenderá el régimen de visitas, estancia, relación o comunicación del inculpado respecto de los menores que dependan de él. No obstante, a instancia de parte, la autoridad judicial podrá no acordar la suspensión mediante resolución motivada en el interés superior del menor y previa evaluación de la situación de la relación paternofilial.</w:t>
      </w:r>
    </w:p>
    <w:p w14:paraId="5C318FC6"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 xml:space="preserve">Las medidas de carácter civil contenidas en la orden de protección tendrán una vigencia temporal de treinta días. Si dentro de este plazo fuese incoado a instancia de la víctima o de su representante legal un proceso de familia ante la jurisdicción civil, las medidas adoptadas permanecerán en vigor durante los treinta días siguientes a la presentación de la demanda. </w:t>
      </w:r>
      <w:r w:rsidRPr="000C5BEC">
        <w:rPr>
          <w:rFonts w:ascii="Verdana" w:hAnsi="Verdana"/>
          <w:color w:val="000000"/>
          <w:sz w:val="20"/>
          <w:szCs w:val="20"/>
          <w:lang w:val="es-ES" w:eastAsia="es-ES"/>
        </w:rPr>
        <w:lastRenderedPageBreak/>
        <w:t>En este término las medidas deberán ser ratificadas, modificadas o dejadas sin efecto por el Juez de primera instancia que resulte competente.»</w:t>
      </w:r>
    </w:p>
    <w:p w14:paraId="7465917E"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Diez. Se introduce un artículo 703 bis con el siguiente contenido:</w:t>
      </w:r>
    </w:p>
    <w:p w14:paraId="778B848F"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703 bis.</w:t>
      </w:r>
    </w:p>
    <w:p w14:paraId="3E695078"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Cuando en fase de instrucción, en aplicación de lo dispuesto en el artículo 449 bis y siguientes, se haya practicado como prueba preconstituida la declaración de un testigo, se procederá, a instancia de la parte interesada, a la reproducción en la vista de la grabación audiovisual, de conformidad con el artículo 730.2, sin que sea necesaria la presencia del testigo en la vista.</w:t>
      </w:r>
    </w:p>
    <w:p w14:paraId="6940E26F"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En los supuestos previstos en el artículo 449 ter, la autoridad judicial solo podrá acordar la intervención del testigo en el acto del juicio, con carácter excepcional, cuando sea interesada por alguna de las partes y considerada necesaria en resolución motivada, asegurando que la grabación audiovisual cuenta con los apoyos de accesibilidad cuando el testigo sea una persona con discapacidad.</w:t>
      </w:r>
    </w:p>
    <w:p w14:paraId="793BAA2A"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En todo caso, la autoridad judicial encargada del enjuiciamiento, a instancia de parte, podrá acordar su intervención en la vista cuando la prueba preconstituida no reúna todos los requisitos previstos en el artículo 449 bis y cause indefensión a alguna de las partes.»</w:t>
      </w:r>
    </w:p>
    <w:p w14:paraId="00FC1867"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Once. Se modifica el párrafo segundo del artículo 707, que queda redactado como sigue:</w:t>
      </w:r>
    </w:p>
    <w:p w14:paraId="6240E6BB"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«Fuera de los casos previstos en el artículo 703 bis, cuando una persona menor de dieciocho años o una persona con discapacidad necesitada de especial protección deba intervenir en el acto del juicio, su declaración se llevará a cabo, cuando resulte necesario para impedir o reducir los perjuicios que para ella puedan derivar del desarrollo del proceso o de la práctica de la diligencia, evitando la confrontación visual con la persona inculpada. Con este fin podrá ser utilizado cualquier medio técnico que haga posible la práctica de esta prueba, incluyéndose la posibilidad de que los testigos puedan ser oídos sin estar presentes en la sala mediante la utilización de tecnologías de la comunicación accesible.»</w:t>
      </w:r>
    </w:p>
    <w:p w14:paraId="6EE0806E"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Doce. Se modifica el artículo 730, que queda redactado como sigue:</w:t>
      </w:r>
    </w:p>
    <w:p w14:paraId="35ABE1DD" w14:textId="77777777" w:rsidR="002923B8" w:rsidRPr="000C5BEC" w:rsidRDefault="002923B8" w:rsidP="00CE2F00">
      <w:pPr>
        <w:shd w:val="clear" w:color="auto" w:fill="FFFFFF"/>
        <w:suppressAutoHyphens w:val="0"/>
        <w:spacing w:before="360" w:after="180"/>
        <w:ind w:left="960"/>
        <w:jc w:val="both"/>
        <w:rPr>
          <w:rFonts w:ascii="Verdana" w:hAnsi="Verdana"/>
          <w:b/>
          <w:bCs/>
          <w:color w:val="000000"/>
          <w:sz w:val="20"/>
          <w:szCs w:val="20"/>
          <w:lang w:val="es-ES" w:eastAsia="es-ES"/>
        </w:rPr>
      </w:pPr>
      <w:r w:rsidRPr="000C5BEC">
        <w:rPr>
          <w:rFonts w:ascii="Verdana" w:hAnsi="Verdana"/>
          <w:b/>
          <w:bCs/>
          <w:color w:val="000000"/>
          <w:sz w:val="20"/>
          <w:szCs w:val="20"/>
          <w:lang w:val="es-ES" w:eastAsia="es-ES"/>
        </w:rPr>
        <w:t>«Artículo 730.</w:t>
      </w:r>
    </w:p>
    <w:p w14:paraId="1E04B653"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1. Podrán también leerse o reproducirse a instancia de cualquiera de las partes las diligencias practicadas en el sumario, que, por causas independientes de la voluntad de aquellas, no puedan ser reproducidas en el juicio oral.</w:t>
      </w:r>
    </w:p>
    <w:p w14:paraId="35D35C3B"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2. A instancia de cualquiera de las partes, se podrá reproducir la grabación audiovisual de la declaración de la víctima o testigo practicada como prueba preconstituida durante la fase de instrucción conforme a lo dispuesto en el artículo 449 bis.»</w:t>
      </w:r>
    </w:p>
    <w:p w14:paraId="08860141"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Trece. Se adiciona un apartado 3 al artículo 777, con el siguiente contenido:</w:t>
      </w:r>
    </w:p>
    <w:p w14:paraId="17EAC879"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lastRenderedPageBreak/>
        <w:t>«3. Cuando una persona menor de catorce años o una persona con discapacidad necesitada de especial protección deba intervenir en condición de testigo, será de aplicación lo dispuesto en el artículo 449 ter, debiendo la autoridad judicial practicar prueba preconstituida, siempre que el objeto del procedimiento sea la instrucción de alguno de los delitos relacionados en tal artículo.</w:t>
      </w:r>
    </w:p>
    <w:p w14:paraId="251983BB" w14:textId="77777777" w:rsidR="002923B8" w:rsidRPr="000C5BEC" w:rsidRDefault="002923B8" w:rsidP="00CE2F00">
      <w:pPr>
        <w:shd w:val="clear" w:color="auto" w:fill="FFFFFF"/>
        <w:suppressAutoHyphens w:val="0"/>
        <w:spacing w:before="18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A efectos de su valoración como prueba en sentencia, la parte a quien interese deberá instar en el juicio oral la reproducción de la grabación audiovisual, en los términos del artículo 730.2.»</w:t>
      </w:r>
    </w:p>
    <w:p w14:paraId="5EDF5222" w14:textId="77777777" w:rsidR="002923B8" w:rsidRPr="000C5BEC" w:rsidRDefault="002923B8" w:rsidP="00CE2F00">
      <w:pPr>
        <w:shd w:val="clear" w:color="auto" w:fill="FFFFFF"/>
        <w:suppressAutoHyphens w:val="0"/>
        <w:spacing w:before="360" w:after="180"/>
        <w:ind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Catorce. Se adiciona un apartado 2 y se reenumeran los apartados del 2 al 6, que pasan a ser del 3 al 7, en el artículo 788, con el siguiente contenido:</w:t>
      </w:r>
    </w:p>
    <w:p w14:paraId="385EBAD8" w14:textId="77777777" w:rsidR="002923B8" w:rsidRPr="000C5BEC" w:rsidRDefault="002923B8" w:rsidP="00CE2F00">
      <w:pPr>
        <w:shd w:val="clear" w:color="auto" w:fill="FFFFFF"/>
        <w:suppressAutoHyphens w:val="0"/>
        <w:spacing w:before="360" w:after="180"/>
        <w:ind w:left="960" w:firstLine="360"/>
        <w:jc w:val="both"/>
        <w:rPr>
          <w:rFonts w:ascii="Verdana" w:hAnsi="Verdana"/>
          <w:color w:val="000000"/>
          <w:sz w:val="20"/>
          <w:szCs w:val="20"/>
          <w:lang w:val="es-ES" w:eastAsia="es-ES"/>
        </w:rPr>
      </w:pPr>
      <w:r w:rsidRPr="000C5BEC">
        <w:rPr>
          <w:rFonts w:ascii="Verdana" w:hAnsi="Verdana"/>
          <w:color w:val="000000"/>
          <w:sz w:val="20"/>
          <w:szCs w:val="20"/>
          <w:lang w:val="es-ES" w:eastAsia="es-ES"/>
        </w:rPr>
        <w:t>«2. Será de aplicación lo dispuesto en el artículo 703 bis en cuanto a la no intervención en el acto del juicio del testigo, cuando se haya practicado prueba preconstituida de conformidad con lo dispuesto en los artículos 449 bis y siguientes.»</w:t>
      </w:r>
    </w:p>
    <w:p w14:paraId="2532B7CD" w14:textId="77777777" w:rsidR="002923B8" w:rsidRDefault="002923B8" w:rsidP="00CE2F00">
      <w:pPr>
        <w:widowControl w:val="0"/>
        <w:autoSpaceDE w:val="0"/>
        <w:jc w:val="both"/>
        <w:rPr>
          <w:rFonts w:ascii="Bookman Old Style" w:hAnsi="Bookman Old Style"/>
          <w:lang w:val="es-ES"/>
        </w:rPr>
      </w:pPr>
    </w:p>
    <w:p w14:paraId="25C20A51" w14:textId="77777777" w:rsidR="003B0C21" w:rsidRPr="00AF67E7" w:rsidRDefault="00AF67E7" w:rsidP="00CE2F00">
      <w:pPr>
        <w:widowControl w:val="0"/>
        <w:autoSpaceDE w:val="0"/>
        <w:jc w:val="both"/>
        <w:rPr>
          <w:rFonts w:ascii="Bookman Old Style" w:hAnsi="Bookman Old Style"/>
          <w:i/>
        </w:rPr>
      </w:pPr>
      <w:r>
        <w:rPr>
          <w:rFonts w:ascii="Bookman Old Style" w:hAnsi="Bookman Old Style"/>
          <w:lang w:val="es-ES"/>
        </w:rPr>
        <w:tab/>
      </w:r>
    </w:p>
    <w:p w14:paraId="20128CE9" w14:textId="77777777" w:rsidR="00AF67E7" w:rsidRPr="00AF67E7" w:rsidRDefault="00AF67E7" w:rsidP="00CE2F00">
      <w:pPr>
        <w:widowControl w:val="0"/>
        <w:autoSpaceDE w:val="0"/>
        <w:jc w:val="both"/>
        <w:rPr>
          <w:rFonts w:ascii="Bookman Old Style" w:hAnsi="Bookman Old Style"/>
        </w:rPr>
      </w:pPr>
    </w:p>
    <w:p w14:paraId="02B48510" w14:textId="77777777" w:rsidR="00AF67E7" w:rsidRDefault="00AF67E7" w:rsidP="00CE2F00">
      <w:pPr>
        <w:widowControl w:val="0"/>
        <w:autoSpaceDE w:val="0"/>
        <w:jc w:val="both"/>
        <w:rPr>
          <w:rFonts w:ascii="Bookman Old Style" w:hAnsi="Bookman Old Style"/>
          <w:b/>
          <w:szCs w:val="26"/>
        </w:rPr>
      </w:pPr>
      <w:r>
        <w:rPr>
          <w:rFonts w:ascii="Garamond" w:hAnsi="Garamond"/>
          <w:sz w:val="26"/>
          <w:szCs w:val="26"/>
        </w:rPr>
        <w:tab/>
      </w:r>
      <w:r w:rsidR="000571C2">
        <w:rPr>
          <w:rFonts w:ascii="Bookman Old Style" w:hAnsi="Bookman Old Style"/>
          <w:b/>
          <w:szCs w:val="26"/>
        </w:rPr>
        <w:t>A partir de es</w:t>
      </w:r>
      <w:r w:rsidR="004258EE" w:rsidRPr="004258EE">
        <w:rPr>
          <w:rFonts w:ascii="Bookman Old Style" w:hAnsi="Bookman Old Style"/>
          <w:b/>
          <w:szCs w:val="26"/>
        </w:rPr>
        <w:t>t</w:t>
      </w:r>
      <w:r w:rsidRPr="004258EE">
        <w:rPr>
          <w:rFonts w:ascii="Bookman Old Style" w:hAnsi="Bookman Old Style"/>
          <w:b/>
          <w:szCs w:val="26"/>
        </w:rPr>
        <w:t>a modificación legislativa</w:t>
      </w:r>
      <w:r w:rsidR="000571C2">
        <w:rPr>
          <w:rFonts w:ascii="Bookman Old Style" w:hAnsi="Bookman Old Style"/>
          <w:b/>
          <w:szCs w:val="26"/>
        </w:rPr>
        <w:t>, y otras, de menor relevancia, se proponen l</w:t>
      </w:r>
      <w:r w:rsidR="000C5BEC">
        <w:rPr>
          <w:rFonts w:ascii="Bookman Old Style" w:hAnsi="Bookman Old Style"/>
          <w:b/>
          <w:szCs w:val="26"/>
        </w:rPr>
        <w:t>a</w:t>
      </w:r>
      <w:r w:rsidR="000571C2">
        <w:rPr>
          <w:rFonts w:ascii="Bookman Old Style" w:hAnsi="Bookman Old Style"/>
          <w:b/>
          <w:szCs w:val="26"/>
        </w:rPr>
        <w:t>s siguientes modificaciones</w:t>
      </w:r>
      <w:r w:rsidRPr="004258EE">
        <w:rPr>
          <w:rFonts w:ascii="Bookman Old Style" w:hAnsi="Bookman Old Style"/>
          <w:b/>
          <w:szCs w:val="26"/>
        </w:rPr>
        <w:t>:</w:t>
      </w:r>
    </w:p>
    <w:p w14:paraId="6261760D" w14:textId="77777777" w:rsidR="000C5BEC" w:rsidRPr="004258EE" w:rsidRDefault="000C5BEC" w:rsidP="00CE2F00">
      <w:pPr>
        <w:widowControl w:val="0"/>
        <w:autoSpaceDE w:val="0"/>
        <w:jc w:val="both"/>
        <w:rPr>
          <w:rFonts w:ascii="Bookman Old Style" w:hAnsi="Bookman Old Style"/>
          <w:b/>
          <w:szCs w:val="26"/>
        </w:rPr>
      </w:pPr>
    </w:p>
    <w:p w14:paraId="4FFAB641" w14:textId="77777777" w:rsidR="00AF67E7" w:rsidRPr="004258EE" w:rsidRDefault="00AF67E7" w:rsidP="00CE2F00">
      <w:pPr>
        <w:widowControl w:val="0"/>
        <w:autoSpaceDE w:val="0"/>
        <w:jc w:val="both"/>
        <w:rPr>
          <w:rFonts w:ascii="Bookman Old Style" w:hAnsi="Bookman Old Style"/>
          <w:szCs w:val="26"/>
        </w:rPr>
      </w:pPr>
    </w:p>
    <w:p w14:paraId="602EAAD0" w14:textId="77777777" w:rsidR="000571C2" w:rsidRDefault="00AF67E7" w:rsidP="000571C2">
      <w:pPr>
        <w:widowControl w:val="0"/>
        <w:autoSpaceDE w:val="0"/>
        <w:jc w:val="both"/>
        <w:rPr>
          <w:rFonts w:ascii="Bookman Old Style" w:hAnsi="Bookman Old Style"/>
          <w:szCs w:val="26"/>
        </w:rPr>
      </w:pPr>
      <w:r w:rsidRPr="004258EE">
        <w:rPr>
          <w:rFonts w:ascii="Bookman Old Style" w:hAnsi="Bookman Old Style"/>
          <w:szCs w:val="26"/>
        </w:rPr>
        <w:tab/>
      </w:r>
      <w:r w:rsidR="004258EE" w:rsidRPr="00C622C3">
        <w:rPr>
          <w:rFonts w:ascii="Bookman Old Style" w:hAnsi="Bookman Old Style"/>
          <w:b/>
          <w:szCs w:val="26"/>
        </w:rPr>
        <w:t xml:space="preserve">Tema </w:t>
      </w:r>
      <w:r w:rsidR="000571C2">
        <w:rPr>
          <w:rFonts w:ascii="Bookman Old Style" w:hAnsi="Bookman Old Style"/>
          <w:b/>
          <w:szCs w:val="26"/>
        </w:rPr>
        <w:t>I</w:t>
      </w:r>
      <w:r w:rsidR="004258EE" w:rsidRPr="00C622C3">
        <w:rPr>
          <w:rFonts w:ascii="Bookman Old Style" w:hAnsi="Bookman Old Style"/>
          <w:b/>
          <w:szCs w:val="26"/>
        </w:rPr>
        <w:t>.</w:t>
      </w:r>
      <w:r w:rsidR="004258EE" w:rsidRPr="004258EE">
        <w:rPr>
          <w:rFonts w:ascii="Bookman Old Style" w:hAnsi="Bookman Old Style"/>
          <w:szCs w:val="26"/>
        </w:rPr>
        <w:t xml:space="preserve"> </w:t>
      </w:r>
      <w:r w:rsidRPr="004258EE">
        <w:rPr>
          <w:rFonts w:ascii="Bookman Old Style" w:hAnsi="Bookman Old Style"/>
          <w:szCs w:val="26"/>
        </w:rPr>
        <w:t xml:space="preserve">Pág. </w:t>
      </w:r>
      <w:r w:rsidR="000571C2">
        <w:rPr>
          <w:rFonts w:ascii="Bookman Old Style" w:hAnsi="Bookman Old Style"/>
          <w:szCs w:val="26"/>
        </w:rPr>
        <w:t>32</w:t>
      </w:r>
      <w:r w:rsidRPr="004258EE">
        <w:rPr>
          <w:rFonts w:ascii="Bookman Old Style" w:hAnsi="Bookman Old Style"/>
          <w:szCs w:val="26"/>
        </w:rPr>
        <w:t>.</w:t>
      </w:r>
      <w:r w:rsidR="004258EE" w:rsidRPr="004258EE">
        <w:rPr>
          <w:rFonts w:ascii="Bookman Old Style" w:hAnsi="Bookman Old Style"/>
          <w:szCs w:val="26"/>
        </w:rPr>
        <w:t xml:space="preserve"> </w:t>
      </w:r>
      <w:r w:rsidR="000571C2">
        <w:rPr>
          <w:rFonts w:ascii="Bookman Old Style" w:hAnsi="Bookman Old Style"/>
          <w:szCs w:val="26"/>
        </w:rPr>
        <w:t xml:space="preserve">El párrafo </w:t>
      </w:r>
      <w:r w:rsidR="000A7698">
        <w:rPr>
          <w:rFonts w:ascii="Bookman Old Style" w:hAnsi="Bookman Old Style"/>
          <w:szCs w:val="26"/>
        </w:rPr>
        <w:t xml:space="preserve">segundo se </w:t>
      </w:r>
      <w:r w:rsidR="000571C2">
        <w:rPr>
          <w:rFonts w:ascii="Bookman Old Style" w:hAnsi="Bookman Old Style"/>
          <w:szCs w:val="26"/>
        </w:rPr>
        <w:t>sustituye por el siguiente:</w:t>
      </w:r>
    </w:p>
    <w:p w14:paraId="795BC72C" w14:textId="77777777" w:rsidR="000571C2" w:rsidRDefault="000571C2" w:rsidP="000571C2">
      <w:pPr>
        <w:widowControl w:val="0"/>
        <w:autoSpaceDE w:val="0"/>
        <w:jc w:val="both"/>
        <w:rPr>
          <w:rFonts w:ascii="Bookman Old Style" w:hAnsi="Bookman Old Style"/>
          <w:szCs w:val="26"/>
        </w:rPr>
      </w:pPr>
    </w:p>
    <w:p w14:paraId="50F4EC7A" w14:textId="77777777" w:rsidR="000571C2" w:rsidRPr="000571C2" w:rsidRDefault="000A7698" w:rsidP="000A7698">
      <w:pPr>
        <w:tabs>
          <w:tab w:val="left" w:pos="-720"/>
        </w:tabs>
        <w:spacing w:line="276" w:lineRule="auto"/>
        <w:ind w:right="-2"/>
        <w:jc w:val="both"/>
        <w:rPr>
          <w:rFonts w:ascii="Garamond" w:hAnsi="Garamond"/>
          <w:sz w:val="28"/>
          <w:szCs w:val="26"/>
        </w:rPr>
      </w:pPr>
      <w:r>
        <w:rPr>
          <w:rFonts w:ascii="Garamond" w:hAnsi="Garamond"/>
          <w:sz w:val="28"/>
          <w:szCs w:val="26"/>
        </w:rPr>
        <w:tab/>
      </w:r>
      <w:r w:rsidR="000571C2" w:rsidRPr="000571C2">
        <w:rPr>
          <w:rFonts w:ascii="Garamond" w:hAnsi="Garamond"/>
          <w:sz w:val="28"/>
          <w:szCs w:val="26"/>
        </w:rPr>
        <w:t>Por lo demás, en otro aspecto relevante cual es el contenido de los fallos de las sentencias, la LO 7/2021</w:t>
      </w:r>
      <w:r w:rsidR="000571C2">
        <w:rPr>
          <w:rFonts w:ascii="Garamond" w:hAnsi="Garamond"/>
          <w:sz w:val="28"/>
          <w:szCs w:val="26"/>
        </w:rPr>
        <w:t xml:space="preserve">, </w:t>
      </w:r>
      <w:r w:rsidR="000571C2" w:rsidRPr="000571C2">
        <w:rPr>
          <w:rFonts w:ascii="Garamond" w:hAnsi="Garamond"/>
          <w:i/>
          <w:sz w:val="28"/>
          <w:szCs w:val="26"/>
        </w:rPr>
        <w:t>de protección de datos personales tratados para fines de prevención, detección, investigación y enjuiciamiento de infracciones penales y de ejecución de sanciones penales</w:t>
      </w:r>
      <w:r w:rsidR="000571C2">
        <w:rPr>
          <w:rFonts w:ascii="Garamond" w:hAnsi="Garamond"/>
          <w:sz w:val="28"/>
          <w:szCs w:val="26"/>
        </w:rPr>
        <w:t>,</w:t>
      </w:r>
      <w:r w:rsidR="000571C2" w:rsidRPr="000571C2">
        <w:rPr>
          <w:rFonts w:ascii="Garamond" w:hAnsi="Garamond"/>
          <w:sz w:val="28"/>
          <w:szCs w:val="26"/>
        </w:rPr>
        <w:t xml:space="preserve"> autoriza la publicidad de los datos personales de los condenados en sentencia firme por delitos de fraude fiscal, alzamiento de bienes contra la Hacienda Pública y contrabando (art. 235 bis LOPJ).</w:t>
      </w:r>
    </w:p>
    <w:p w14:paraId="5F20EA25" w14:textId="77777777" w:rsidR="000571C2" w:rsidRDefault="000571C2" w:rsidP="000571C2">
      <w:pPr>
        <w:widowControl w:val="0"/>
        <w:autoSpaceDE w:val="0"/>
        <w:jc w:val="both"/>
        <w:rPr>
          <w:rFonts w:ascii="Bookman Old Style" w:hAnsi="Bookman Old Style"/>
          <w:szCs w:val="26"/>
        </w:rPr>
      </w:pPr>
    </w:p>
    <w:p w14:paraId="0CC387E1" w14:textId="77777777" w:rsidR="000571C2" w:rsidRDefault="000571C2" w:rsidP="000571C2">
      <w:pPr>
        <w:widowControl w:val="0"/>
        <w:autoSpaceDE w:val="0"/>
        <w:jc w:val="both"/>
        <w:rPr>
          <w:rFonts w:ascii="Bookman Old Style" w:hAnsi="Bookman Old Style"/>
          <w:szCs w:val="26"/>
        </w:rPr>
      </w:pPr>
    </w:p>
    <w:p w14:paraId="44406E92" w14:textId="77777777" w:rsidR="004258EE" w:rsidRPr="004258EE" w:rsidRDefault="004258EE" w:rsidP="00CE2F00">
      <w:pPr>
        <w:widowControl w:val="0"/>
        <w:autoSpaceDE w:val="0"/>
        <w:jc w:val="both"/>
        <w:rPr>
          <w:rFonts w:ascii="Bookman Old Style" w:hAnsi="Bookman Old Style"/>
          <w:szCs w:val="26"/>
        </w:rPr>
      </w:pPr>
    </w:p>
    <w:p w14:paraId="76DEBAD7" w14:textId="77777777" w:rsidR="004258EE" w:rsidRPr="004258EE" w:rsidRDefault="004258EE" w:rsidP="00CE2F00">
      <w:pPr>
        <w:widowControl w:val="0"/>
        <w:autoSpaceDE w:val="0"/>
        <w:jc w:val="both"/>
        <w:rPr>
          <w:rFonts w:ascii="Bookman Old Style" w:hAnsi="Bookman Old Style"/>
          <w:szCs w:val="26"/>
        </w:rPr>
      </w:pPr>
      <w:r w:rsidRPr="004258EE">
        <w:rPr>
          <w:rFonts w:ascii="Bookman Old Style" w:hAnsi="Bookman Old Style"/>
          <w:szCs w:val="26"/>
        </w:rPr>
        <w:tab/>
      </w:r>
      <w:r w:rsidRPr="00C622C3">
        <w:rPr>
          <w:rFonts w:ascii="Bookman Old Style" w:hAnsi="Bookman Old Style"/>
          <w:b/>
          <w:szCs w:val="26"/>
        </w:rPr>
        <w:t xml:space="preserve">Tema </w:t>
      </w:r>
      <w:r w:rsidR="000571C2">
        <w:rPr>
          <w:rFonts w:ascii="Bookman Old Style" w:hAnsi="Bookman Old Style"/>
          <w:b/>
          <w:szCs w:val="26"/>
        </w:rPr>
        <w:t>VI</w:t>
      </w:r>
      <w:r w:rsidR="00C622C3">
        <w:rPr>
          <w:rFonts w:ascii="Bookman Old Style" w:hAnsi="Bookman Old Style"/>
          <w:szCs w:val="26"/>
        </w:rPr>
        <w:t xml:space="preserve"> P</w:t>
      </w:r>
      <w:r w:rsidRPr="004258EE">
        <w:rPr>
          <w:rFonts w:ascii="Bookman Old Style" w:hAnsi="Bookman Old Style"/>
          <w:szCs w:val="26"/>
        </w:rPr>
        <w:t>ág. 9</w:t>
      </w:r>
      <w:r w:rsidR="000571C2">
        <w:rPr>
          <w:rFonts w:ascii="Bookman Old Style" w:hAnsi="Bookman Old Style"/>
          <w:szCs w:val="26"/>
        </w:rPr>
        <w:t>5</w:t>
      </w:r>
      <w:r w:rsidRPr="004258EE">
        <w:rPr>
          <w:rFonts w:ascii="Bookman Old Style" w:hAnsi="Bookman Old Style"/>
          <w:szCs w:val="26"/>
        </w:rPr>
        <w:t>. La re</w:t>
      </w:r>
      <w:r w:rsidR="000571C2">
        <w:rPr>
          <w:rFonts w:ascii="Bookman Old Style" w:hAnsi="Bookman Old Style"/>
          <w:szCs w:val="26"/>
        </w:rPr>
        <w:t xml:space="preserve">ferencia a la Ley Orgánica 1/1996 debe completarse con la </w:t>
      </w:r>
      <w:r w:rsidR="000A7698">
        <w:rPr>
          <w:rFonts w:ascii="Bookman Old Style" w:hAnsi="Bookman Old Style"/>
          <w:szCs w:val="26"/>
        </w:rPr>
        <w:t>men</w:t>
      </w:r>
      <w:r w:rsidRPr="004258EE">
        <w:rPr>
          <w:rFonts w:ascii="Bookman Old Style" w:hAnsi="Bookman Old Style"/>
          <w:szCs w:val="26"/>
        </w:rPr>
        <w:t xml:space="preserve">ción </w:t>
      </w:r>
      <w:r w:rsidR="000A7698">
        <w:rPr>
          <w:rFonts w:ascii="Bookman Old Style" w:hAnsi="Bookman Old Style"/>
          <w:szCs w:val="26"/>
        </w:rPr>
        <w:t xml:space="preserve">de la LO 8/21, con la redacción </w:t>
      </w:r>
      <w:r w:rsidRPr="004258EE">
        <w:rPr>
          <w:rFonts w:ascii="Bookman Old Style" w:hAnsi="Bookman Old Style"/>
          <w:szCs w:val="26"/>
        </w:rPr>
        <w:t>siguiente:</w:t>
      </w:r>
    </w:p>
    <w:p w14:paraId="59B2C835" w14:textId="77777777" w:rsidR="004258EE" w:rsidRDefault="004258EE" w:rsidP="00CE2F00">
      <w:pPr>
        <w:widowControl w:val="0"/>
        <w:autoSpaceDE w:val="0"/>
        <w:jc w:val="both"/>
        <w:rPr>
          <w:rFonts w:ascii="Garamond" w:hAnsi="Garamond"/>
          <w:sz w:val="26"/>
          <w:szCs w:val="26"/>
        </w:rPr>
      </w:pPr>
    </w:p>
    <w:p w14:paraId="3AB78E11" w14:textId="77777777" w:rsidR="000A7698" w:rsidRDefault="000A7698" w:rsidP="000A7698">
      <w:pPr>
        <w:pStyle w:val="Default"/>
        <w:spacing w:before="58" w:line="276" w:lineRule="auto"/>
        <w:jc w:val="both"/>
        <w:rPr>
          <w:rFonts w:ascii="Garamond" w:hAnsi="Garamond"/>
          <w:color w:val="auto"/>
          <w:sz w:val="28"/>
          <w:szCs w:val="28"/>
          <w:lang w:eastAsia="es-ES"/>
        </w:rPr>
      </w:pPr>
      <w:r>
        <w:rPr>
          <w:rFonts w:ascii="Garamond" w:hAnsi="Garamond"/>
          <w:sz w:val="26"/>
          <w:szCs w:val="26"/>
        </w:rPr>
        <w:tab/>
      </w:r>
      <w:r w:rsidRPr="00B912F7">
        <w:rPr>
          <w:rFonts w:ascii="Garamond" w:hAnsi="Garamond"/>
          <w:color w:val="auto"/>
          <w:sz w:val="28"/>
          <w:szCs w:val="28"/>
          <w:lang w:eastAsia="es-ES"/>
        </w:rPr>
        <w:t>-la</w:t>
      </w:r>
      <w:r>
        <w:rPr>
          <w:rFonts w:ascii="Garamond" w:hAnsi="Garamond"/>
          <w:color w:val="auto"/>
          <w:sz w:val="28"/>
          <w:szCs w:val="28"/>
          <w:lang w:eastAsia="es-ES"/>
        </w:rPr>
        <w:t>s</w:t>
      </w:r>
      <w:r w:rsidRPr="00B912F7">
        <w:rPr>
          <w:rFonts w:ascii="Garamond" w:hAnsi="Garamond"/>
          <w:color w:val="auto"/>
          <w:sz w:val="28"/>
          <w:szCs w:val="28"/>
          <w:lang w:eastAsia="es-ES"/>
        </w:rPr>
        <w:t xml:space="preserve"> Ley</w:t>
      </w:r>
      <w:r>
        <w:rPr>
          <w:rFonts w:ascii="Garamond" w:hAnsi="Garamond"/>
          <w:color w:val="auto"/>
          <w:sz w:val="28"/>
          <w:szCs w:val="28"/>
          <w:lang w:eastAsia="es-ES"/>
        </w:rPr>
        <w:t>es</w:t>
      </w:r>
      <w:r w:rsidRPr="00B912F7">
        <w:rPr>
          <w:rFonts w:ascii="Garamond" w:hAnsi="Garamond"/>
          <w:color w:val="auto"/>
          <w:sz w:val="28"/>
          <w:szCs w:val="28"/>
          <w:lang w:eastAsia="es-ES"/>
        </w:rPr>
        <w:t xml:space="preserve"> Orgánica</w:t>
      </w:r>
      <w:r>
        <w:rPr>
          <w:rFonts w:ascii="Garamond" w:hAnsi="Garamond"/>
          <w:color w:val="auto"/>
          <w:sz w:val="28"/>
          <w:szCs w:val="28"/>
          <w:lang w:eastAsia="es-ES"/>
        </w:rPr>
        <w:t>s</w:t>
      </w:r>
      <w:r w:rsidRPr="00B912F7">
        <w:rPr>
          <w:rFonts w:ascii="Garamond" w:hAnsi="Garamond"/>
          <w:color w:val="auto"/>
          <w:sz w:val="28"/>
          <w:szCs w:val="28"/>
          <w:lang w:eastAsia="es-ES"/>
        </w:rPr>
        <w:t xml:space="preserve"> 1/1996, de 15 de enero, de Protección Jurídica del Menor, </w:t>
      </w:r>
      <w:r>
        <w:rPr>
          <w:rFonts w:ascii="Garamond" w:hAnsi="Garamond"/>
          <w:color w:val="auto"/>
          <w:sz w:val="28"/>
          <w:szCs w:val="28"/>
          <w:lang w:eastAsia="es-ES"/>
        </w:rPr>
        <w:t>y 8/2021, de 4 de junio, de protección jurídica a la infancia y la adolescencia frente a la violencia.</w:t>
      </w:r>
    </w:p>
    <w:p w14:paraId="2ED202D6" w14:textId="77777777" w:rsidR="000A7698" w:rsidRDefault="000A7698" w:rsidP="00CE2F00">
      <w:pPr>
        <w:widowControl w:val="0"/>
        <w:autoSpaceDE w:val="0"/>
        <w:jc w:val="both"/>
        <w:rPr>
          <w:rFonts w:ascii="Garamond" w:hAnsi="Garamond"/>
          <w:sz w:val="26"/>
          <w:szCs w:val="26"/>
        </w:rPr>
      </w:pPr>
    </w:p>
    <w:p w14:paraId="49C38B5B" w14:textId="77777777" w:rsidR="000A7698" w:rsidRPr="006C543C" w:rsidRDefault="000A7698" w:rsidP="00CE2F00">
      <w:pPr>
        <w:widowControl w:val="0"/>
        <w:autoSpaceDE w:val="0"/>
        <w:jc w:val="both"/>
        <w:rPr>
          <w:rFonts w:ascii="Garamond" w:hAnsi="Garamond"/>
          <w:sz w:val="26"/>
          <w:szCs w:val="26"/>
        </w:rPr>
      </w:pPr>
      <w:r>
        <w:rPr>
          <w:rFonts w:ascii="Garamond" w:hAnsi="Garamond"/>
          <w:sz w:val="26"/>
          <w:szCs w:val="26"/>
        </w:rPr>
        <w:tab/>
      </w:r>
    </w:p>
    <w:p w14:paraId="6DC60410" w14:textId="77777777" w:rsidR="00135E0D" w:rsidRDefault="004258EE" w:rsidP="00CE2F00">
      <w:pPr>
        <w:jc w:val="both"/>
        <w:rPr>
          <w:rFonts w:ascii="Bookman Old Style" w:hAnsi="Bookman Old Style"/>
        </w:rPr>
      </w:pPr>
      <w:r>
        <w:rPr>
          <w:rFonts w:ascii="Garamond" w:hAnsi="Garamond"/>
          <w:sz w:val="26"/>
          <w:szCs w:val="26"/>
        </w:rPr>
        <w:tab/>
      </w:r>
      <w:r w:rsidRPr="00C622C3">
        <w:rPr>
          <w:rFonts w:ascii="Bookman Old Style" w:hAnsi="Bookman Old Style"/>
          <w:b/>
        </w:rPr>
        <w:t xml:space="preserve">Tema </w:t>
      </w:r>
      <w:r w:rsidR="000A7698">
        <w:rPr>
          <w:rFonts w:ascii="Bookman Old Style" w:hAnsi="Bookman Old Style"/>
          <w:b/>
        </w:rPr>
        <w:t>V</w:t>
      </w:r>
      <w:r w:rsidRPr="00C622C3">
        <w:rPr>
          <w:rFonts w:ascii="Bookman Old Style" w:hAnsi="Bookman Old Style"/>
          <w:b/>
        </w:rPr>
        <w:t>I</w:t>
      </w:r>
      <w:r w:rsidR="000A7698">
        <w:rPr>
          <w:rFonts w:ascii="Bookman Old Style" w:hAnsi="Bookman Old Style"/>
          <w:b/>
        </w:rPr>
        <w:t>I</w:t>
      </w:r>
      <w:r w:rsidRPr="00C55321">
        <w:rPr>
          <w:rFonts w:ascii="Bookman Old Style" w:hAnsi="Bookman Old Style"/>
        </w:rPr>
        <w:t>. Pág</w:t>
      </w:r>
      <w:r w:rsidR="000A7698">
        <w:rPr>
          <w:rFonts w:ascii="Bookman Old Style" w:hAnsi="Bookman Old Style"/>
        </w:rPr>
        <w:t>s</w:t>
      </w:r>
      <w:r w:rsidRPr="00C55321">
        <w:rPr>
          <w:rFonts w:ascii="Bookman Old Style" w:hAnsi="Bookman Old Style"/>
        </w:rPr>
        <w:t>. 11</w:t>
      </w:r>
      <w:r w:rsidR="000A7698">
        <w:rPr>
          <w:rFonts w:ascii="Bookman Old Style" w:hAnsi="Bookman Old Style"/>
        </w:rPr>
        <w:t>8 y 119</w:t>
      </w:r>
      <w:r w:rsidRPr="00C55321">
        <w:rPr>
          <w:rFonts w:ascii="Bookman Old Style" w:hAnsi="Bookman Old Style"/>
        </w:rPr>
        <w:t xml:space="preserve">. El </w:t>
      </w:r>
      <w:r w:rsidR="000A7698">
        <w:rPr>
          <w:rFonts w:ascii="Bookman Old Style" w:hAnsi="Bookman Old Style"/>
        </w:rPr>
        <w:t xml:space="preserve">último párrafo de la pág. 118 y primero de la siguiente </w:t>
      </w:r>
      <w:r w:rsidRPr="00C55321">
        <w:rPr>
          <w:rFonts w:ascii="Bookman Old Style" w:hAnsi="Bookman Old Style"/>
        </w:rPr>
        <w:t>queda redactado de la manera siguiente</w:t>
      </w:r>
      <w:r w:rsidR="00135E0D" w:rsidRPr="00C55321">
        <w:rPr>
          <w:rFonts w:ascii="Bookman Old Style" w:hAnsi="Bookman Old Style"/>
        </w:rPr>
        <w:t>:</w:t>
      </w:r>
    </w:p>
    <w:p w14:paraId="6096CA21" w14:textId="77777777" w:rsidR="000A7698" w:rsidRPr="00C55321" w:rsidRDefault="000A7698" w:rsidP="00CE2F00">
      <w:pPr>
        <w:jc w:val="both"/>
        <w:rPr>
          <w:rFonts w:ascii="Bookman Old Style" w:hAnsi="Bookman Old Style"/>
        </w:rPr>
      </w:pPr>
    </w:p>
    <w:p w14:paraId="13D5389F" w14:textId="77777777" w:rsidR="002F62CC" w:rsidRPr="0072505C" w:rsidRDefault="002F62CC" w:rsidP="002F62CC">
      <w:pPr>
        <w:tabs>
          <w:tab w:val="left" w:pos="-720"/>
        </w:tabs>
        <w:spacing w:line="276" w:lineRule="auto"/>
        <w:jc w:val="both"/>
        <w:rPr>
          <w:rFonts w:ascii="Garamond" w:hAnsi="Garamond"/>
          <w:sz w:val="28"/>
          <w:szCs w:val="28"/>
        </w:rPr>
      </w:pPr>
      <w:r>
        <w:rPr>
          <w:rFonts w:ascii="Garamond" w:hAnsi="Garamond"/>
          <w:sz w:val="28"/>
          <w:szCs w:val="28"/>
        </w:rPr>
        <w:lastRenderedPageBreak/>
        <w:tab/>
      </w:r>
      <w:r w:rsidRPr="00D63F50">
        <w:rPr>
          <w:rFonts w:ascii="Garamond" w:hAnsi="Garamond"/>
          <w:sz w:val="28"/>
          <w:szCs w:val="28"/>
        </w:rPr>
        <w:t xml:space="preserve">Por lo que respecta al beneficio de justicia gratuita, es éste un derecho constitucional que se reconoce en el artículo 119 CE a todos los que carezcan de recursos económicos para litigar y que tiene alcance general, al referirse, en el proceso penal, tanto a los acusadores, particular y privado, como al investigado o encausado. El citado precepto constitucional ha sido desarrollado por la Ley 1/1996, de 10 de enero, de Asistencia Jurídica Gratuita, desarrollada por su Reglamento, </w:t>
      </w:r>
      <w:r>
        <w:rPr>
          <w:rFonts w:ascii="Garamond" w:hAnsi="Garamond"/>
          <w:sz w:val="28"/>
          <w:szCs w:val="28"/>
        </w:rPr>
        <w:t xml:space="preserve">cuyo texto vigente hoy es el </w:t>
      </w:r>
      <w:r w:rsidRPr="00D63F50">
        <w:rPr>
          <w:rFonts w:ascii="Garamond" w:hAnsi="Garamond"/>
          <w:sz w:val="28"/>
          <w:szCs w:val="28"/>
        </w:rPr>
        <w:t xml:space="preserve">aprobado </w:t>
      </w:r>
      <w:r w:rsidRPr="0071069D">
        <w:rPr>
          <w:rFonts w:ascii="Garamond" w:hAnsi="Garamond"/>
          <w:sz w:val="28"/>
          <w:szCs w:val="28"/>
        </w:rPr>
        <w:t>Real Decreto 141/2021, de 9 de marzo</w:t>
      </w:r>
      <w:r w:rsidRPr="0072505C">
        <w:rPr>
          <w:rFonts w:ascii="Garamond" w:hAnsi="Garamond"/>
          <w:sz w:val="28"/>
          <w:szCs w:val="28"/>
        </w:rPr>
        <w:t>.</w:t>
      </w:r>
    </w:p>
    <w:p w14:paraId="75E9DD10" w14:textId="77777777" w:rsidR="002F62CC" w:rsidRDefault="002F62CC" w:rsidP="00CE2F00">
      <w:pPr>
        <w:jc w:val="both"/>
        <w:rPr>
          <w:rFonts w:ascii="Garamond" w:hAnsi="Garamond"/>
          <w:sz w:val="26"/>
          <w:szCs w:val="26"/>
        </w:rPr>
      </w:pPr>
    </w:p>
    <w:p w14:paraId="27D29C96" w14:textId="77777777" w:rsidR="00135E0D" w:rsidRDefault="00135E0D" w:rsidP="00CE2F00">
      <w:pPr>
        <w:jc w:val="both"/>
        <w:rPr>
          <w:rFonts w:ascii="Garamond" w:hAnsi="Garamond"/>
          <w:sz w:val="26"/>
          <w:szCs w:val="26"/>
        </w:rPr>
      </w:pPr>
      <w:r>
        <w:rPr>
          <w:rFonts w:ascii="Garamond" w:hAnsi="Garamond"/>
          <w:sz w:val="26"/>
          <w:szCs w:val="26"/>
        </w:rPr>
        <w:tab/>
      </w:r>
    </w:p>
    <w:p w14:paraId="55CDDE03" w14:textId="77777777" w:rsidR="00B8153E" w:rsidRDefault="00135E0D" w:rsidP="00CE2F00">
      <w:pPr>
        <w:jc w:val="both"/>
        <w:rPr>
          <w:rFonts w:ascii="Bookman Old Style" w:hAnsi="Bookman Old Style"/>
          <w:szCs w:val="26"/>
        </w:rPr>
      </w:pPr>
      <w:r>
        <w:rPr>
          <w:rFonts w:ascii="Garamond" w:hAnsi="Garamond"/>
          <w:sz w:val="26"/>
          <w:szCs w:val="26"/>
        </w:rPr>
        <w:tab/>
      </w:r>
      <w:r w:rsidRPr="00C622C3">
        <w:rPr>
          <w:rFonts w:ascii="Bookman Old Style" w:hAnsi="Bookman Old Style"/>
          <w:b/>
          <w:szCs w:val="26"/>
        </w:rPr>
        <w:t>Tema VIII</w:t>
      </w:r>
      <w:r>
        <w:rPr>
          <w:rFonts w:ascii="Bookman Old Style" w:hAnsi="Bookman Old Style"/>
          <w:szCs w:val="26"/>
        </w:rPr>
        <w:t xml:space="preserve">. Pág. </w:t>
      </w:r>
      <w:r w:rsidR="00B8153E">
        <w:rPr>
          <w:rFonts w:ascii="Bookman Old Style" w:hAnsi="Bookman Old Style"/>
          <w:szCs w:val="26"/>
        </w:rPr>
        <w:t>133</w:t>
      </w:r>
      <w:r>
        <w:rPr>
          <w:rFonts w:ascii="Bookman Old Style" w:hAnsi="Bookman Old Style"/>
          <w:szCs w:val="26"/>
        </w:rPr>
        <w:t xml:space="preserve">. </w:t>
      </w:r>
      <w:r w:rsidR="00B8153E">
        <w:rPr>
          <w:rFonts w:ascii="Bookman Old Style" w:hAnsi="Bookman Old Style"/>
          <w:szCs w:val="26"/>
        </w:rPr>
        <w:t>A continuación del párrafo tercero (Cuando el delito…) inserta</w:t>
      </w:r>
      <w:r w:rsidR="00D524C2">
        <w:rPr>
          <w:rFonts w:ascii="Bookman Old Style" w:hAnsi="Bookman Old Style"/>
          <w:szCs w:val="26"/>
        </w:rPr>
        <w:t>d</w:t>
      </w:r>
      <w:r w:rsidR="00B8153E">
        <w:rPr>
          <w:rFonts w:ascii="Bookman Old Style" w:hAnsi="Bookman Old Style"/>
          <w:szCs w:val="26"/>
        </w:rPr>
        <w:t xml:space="preserve"> el párrafo siguiente:</w:t>
      </w:r>
    </w:p>
    <w:p w14:paraId="55CB09C8" w14:textId="77777777" w:rsidR="002C09DC" w:rsidRDefault="002C09DC" w:rsidP="00CE2F00">
      <w:pPr>
        <w:jc w:val="both"/>
        <w:rPr>
          <w:rFonts w:ascii="Bookman Old Style" w:hAnsi="Bookman Old Style"/>
          <w:szCs w:val="26"/>
        </w:rPr>
      </w:pPr>
    </w:p>
    <w:p w14:paraId="69431EB0" w14:textId="77777777" w:rsidR="00B8153E" w:rsidRDefault="00B8153E" w:rsidP="00B8153E">
      <w:pPr>
        <w:tabs>
          <w:tab w:val="left" w:pos="-720"/>
        </w:tabs>
        <w:spacing w:line="276" w:lineRule="auto"/>
        <w:jc w:val="both"/>
        <w:rPr>
          <w:rFonts w:ascii="Garamond" w:hAnsi="Garamond"/>
          <w:spacing w:val="-3"/>
          <w:sz w:val="28"/>
          <w:szCs w:val="28"/>
          <w:lang w:val="es-ES"/>
        </w:rPr>
      </w:pPr>
      <w:r>
        <w:rPr>
          <w:rFonts w:ascii="Garamond" w:hAnsi="Garamond"/>
          <w:spacing w:val="-3"/>
          <w:sz w:val="28"/>
          <w:szCs w:val="28"/>
          <w:lang w:val="es-ES"/>
        </w:rPr>
        <w:tab/>
        <w:t>Por su parte, el artículo 110 legitima a los que sin ser víctimas hayan resultado perjudicados por el delito. Tanto las víctimas como los perjudicados pueden ejercitar la acción penal en cualquier momento, pero “</w:t>
      </w:r>
      <w:r w:rsidRPr="00076071">
        <w:rPr>
          <w:rFonts w:ascii="Garamond" w:hAnsi="Garamond"/>
          <w:i/>
          <w:spacing w:val="-3"/>
          <w:sz w:val="28"/>
          <w:szCs w:val="28"/>
          <w:lang w:val="es-ES"/>
        </w:rPr>
        <w:t>si se personasen una vez transcurrido el término para formular escrito de acusación podrán ejercitar la acción penal hasta el inicio del juicio oral adhiriéndose al escrito de acusación formulado por el Ministerio Fiscal o del resto de las acusaciones personadas</w:t>
      </w:r>
      <w:r>
        <w:rPr>
          <w:rFonts w:ascii="Garamond" w:hAnsi="Garamond"/>
          <w:spacing w:val="-3"/>
          <w:sz w:val="28"/>
          <w:szCs w:val="28"/>
          <w:lang w:val="es-ES"/>
        </w:rPr>
        <w:t>”.</w:t>
      </w:r>
    </w:p>
    <w:p w14:paraId="4EFD2865" w14:textId="77777777" w:rsidR="00B8153E" w:rsidRDefault="00B8153E" w:rsidP="00CE2F00">
      <w:pPr>
        <w:jc w:val="both"/>
        <w:rPr>
          <w:rFonts w:ascii="Bookman Old Style" w:hAnsi="Bookman Old Style"/>
          <w:szCs w:val="26"/>
        </w:rPr>
      </w:pPr>
    </w:p>
    <w:p w14:paraId="61037817" w14:textId="77777777" w:rsidR="00135E0D" w:rsidRDefault="00135E0D" w:rsidP="00CE2F00">
      <w:pPr>
        <w:jc w:val="both"/>
        <w:rPr>
          <w:rFonts w:ascii="Garamond" w:hAnsi="Garamond"/>
          <w:sz w:val="26"/>
          <w:szCs w:val="26"/>
        </w:rPr>
      </w:pPr>
    </w:p>
    <w:p w14:paraId="5D22FC8B" w14:textId="77777777" w:rsidR="00135E0D" w:rsidRDefault="00135E0D" w:rsidP="00CE2F00">
      <w:pPr>
        <w:jc w:val="both"/>
        <w:rPr>
          <w:rFonts w:ascii="Bookman Old Style" w:hAnsi="Bookman Old Style"/>
          <w:szCs w:val="26"/>
        </w:rPr>
      </w:pPr>
      <w:r>
        <w:rPr>
          <w:rFonts w:ascii="Garamond" w:hAnsi="Garamond"/>
          <w:sz w:val="26"/>
          <w:szCs w:val="26"/>
        </w:rPr>
        <w:tab/>
      </w:r>
      <w:r w:rsidRPr="00C622C3">
        <w:rPr>
          <w:rFonts w:ascii="Bookman Old Style" w:hAnsi="Bookman Old Style"/>
          <w:b/>
          <w:szCs w:val="26"/>
        </w:rPr>
        <w:t xml:space="preserve">Tema </w:t>
      </w:r>
      <w:r w:rsidR="00B8153E">
        <w:rPr>
          <w:rFonts w:ascii="Bookman Old Style" w:hAnsi="Bookman Old Style"/>
          <w:b/>
          <w:szCs w:val="26"/>
        </w:rPr>
        <w:t>I</w:t>
      </w:r>
      <w:r w:rsidRPr="00C622C3">
        <w:rPr>
          <w:rFonts w:ascii="Bookman Old Style" w:hAnsi="Bookman Old Style"/>
          <w:b/>
          <w:szCs w:val="26"/>
        </w:rPr>
        <w:t>X</w:t>
      </w:r>
      <w:r w:rsidRPr="00C55321">
        <w:rPr>
          <w:rFonts w:ascii="Bookman Old Style" w:hAnsi="Bookman Old Style"/>
          <w:szCs w:val="26"/>
        </w:rPr>
        <w:t xml:space="preserve">. Pág. </w:t>
      </w:r>
      <w:r w:rsidR="00B8153E">
        <w:rPr>
          <w:rFonts w:ascii="Bookman Old Style" w:hAnsi="Bookman Old Style"/>
          <w:szCs w:val="26"/>
        </w:rPr>
        <w:t>141</w:t>
      </w:r>
      <w:r w:rsidRPr="00C55321">
        <w:rPr>
          <w:rFonts w:ascii="Bookman Old Style" w:hAnsi="Bookman Old Style"/>
          <w:szCs w:val="26"/>
        </w:rPr>
        <w:t>. Su</w:t>
      </w:r>
      <w:r w:rsidR="00D524C2">
        <w:rPr>
          <w:rFonts w:ascii="Bookman Old Style" w:hAnsi="Bookman Old Style"/>
          <w:szCs w:val="26"/>
        </w:rPr>
        <w:t xml:space="preserve">stituid el párrafo cuarto (A diferencia…) </w:t>
      </w:r>
      <w:r w:rsidRPr="00C55321">
        <w:rPr>
          <w:rFonts w:ascii="Bookman Old Style" w:hAnsi="Bookman Old Style"/>
          <w:szCs w:val="26"/>
        </w:rPr>
        <w:t>p</w:t>
      </w:r>
      <w:r w:rsidR="00D524C2">
        <w:rPr>
          <w:rFonts w:ascii="Bookman Old Style" w:hAnsi="Bookman Old Style"/>
          <w:szCs w:val="26"/>
        </w:rPr>
        <w:t>or el siguiente:</w:t>
      </w:r>
    </w:p>
    <w:p w14:paraId="223F59CF" w14:textId="77777777" w:rsidR="00D524C2" w:rsidRDefault="00D524C2" w:rsidP="00CE2F00">
      <w:pPr>
        <w:jc w:val="both"/>
        <w:rPr>
          <w:rFonts w:ascii="Bookman Old Style" w:hAnsi="Bookman Old Style"/>
          <w:szCs w:val="26"/>
        </w:rPr>
      </w:pPr>
    </w:p>
    <w:p w14:paraId="73651098" w14:textId="77777777" w:rsidR="00D524C2" w:rsidRPr="0065786E" w:rsidRDefault="00D524C2" w:rsidP="00D524C2">
      <w:pPr>
        <w:spacing w:line="276" w:lineRule="auto"/>
        <w:ind w:firstLine="720"/>
        <w:jc w:val="both"/>
        <w:rPr>
          <w:rFonts w:ascii="Garamond" w:hAnsi="Garamond"/>
          <w:spacing w:val="-3"/>
          <w:sz w:val="28"/>
          <w:szCs w:val="28"/>
        </w:rPr>
      </w:pPr>
      <w:r w:rsidRPr="0065786E">
        <w:rPr>
          <w:rFonts w:ascii="Garamond" w:hAnsi="Garamond"/>
          <w:spacing w:val="-3"/>
          <w:sz w:val="28"/>
          <w:szCs w:val="28"/>
        </w:rPr>
        <w:t>A) A diferencia de lo que ocurre en el proceso civil, el ejercicio de la acción civil en el proceso penal no necesita de la interposición de demanda. La acción civil se ejercita en la querella inicial o por la mera personación en el proceso ya iniciado, bien por iniciativa propia del perjudicado o en virtud del ofrecimiento de acciones que le haga el órgano jurisdiccional. El momento preclusivo para el ejercicio de la acción civil es el de la calificación del delito (art. 110.1</w:t>
      </w:r>
      <w:r w:rsidRPr="0065786E">
        <w:rPr>
          <w:rFonts w:ascii="Garamond" w:hAnsi="Garamond"/>
          <w:sz w:val="28"/>
          <w:szCs w:val="28"/>
        </w:rPr>
        <w:t xml:space="preserve"> LECrim</w:t>
      </w:r>
      <w:r w:rsidRPr="0065786E">
        <w:rPr>
          <w:rFonts w:ascii="Garamond" w:hAnsi="Garamond"/>
          <w:spacing w:val="-3"/>
          <w:sz w:val="28"/>
          <w:szCs w:val="28"/>
        </w:rPr>
        <w:t>)</w:t>
      </w:r>
      <w:r>
        <w:rPr>
          <w:rFonts w:ascii="Garamond" w:hAnsi="Garamond"/>
          <w:spacing w:val="-3"/>
          <w:sz w:val="28"/>
          <w:szCs w:val="28"/>
        </w:rPr>
        <w:t>, aunque se admite la personación en un momento posterior, siempre que sea</w:t>
      </w:r>
      <w:r w:rsidRPr="00426692">
        <w:rPr>
          <w:rFonts w:ascii="Garamond" w:hAnsi="Garamond"/>
          <w:spacing w:val="-3"/>
          <w:sz w:val="28"/>
          <w:szCs w:val="28"/>
        </w:rPr>
        <w:t xml:space="preserve"> </w:t>
      </w:r>
      <w:r>
        <w:rPr>
          <w:rFonts w:ascii="Garamond" w:hAnsi="Garamond"/>
          <w:spacing w:val="-3"/>
          <w:sz w:val="28"/>
          <w:szCs w:val="28"/>
        </w:rPr>
        <w:t xml:space="preserve">antes </w:t>
      </w:r>
      <w:r w:rsidRPr="00426692">
        <w:rPr>
          <w:rFonts w:ascii="Garamond" w:hAnsi="Garamond"/>
          <w:spacing w:val="-3"/>
          <w:sz w:val="28"/>
          <w:szCs w:val="28"/>
        </w:rPr>
        <w:t xml:space="preserve">inicio del juicio oral </w:t>
      </w:r>
      <w:r>
        <w:rPr>
          <w:rFonts w:ascii="Garamond" w:hAnsi="Garamond"/>
          <w:spacing w:val="-3"/>
          <w:sz w:val="28"/>
          <w:szCs w:val="28"/>
        </w:rPr>
        <w:t xml:space="preserve">y sin otra opción que la de </w:t>
      </w:r>
      <w:r w:rsidRPr="00426692">
        <w:rPr>
          <w:rFonts w:ascii="Garamond" w:hAnsi="Garamond"/>
          <w:spacing w:val="-3"/>
          <w:sz w:val="28"/>
          <w:szCs w:val="28"/>
        </w:rPr>
        <w:t>adh</w:t>
      </w:r>
      <w:r>
        <w:rPr>
          <w:rFonts w:ascii="Garamond" w:hAnsi="Garamond"/>
          <w:spacing w:val="-3"/>
          <w:sz w:val="28"/>
          <w:szCs w:val="28"/>
        </w:rPr>
        <w:t>erirse</w:t>
      </w:r>
      <w:r w:rsidRPr="00426692">
        <w:rPr>
          <w:rFonts w:ascii="Garamond" w:hAnsi="Garamond"/>
          <w:spacing w:val="-3"/>
          <w:sz w:val="28"/>
          <w:szCs w:val="28"/>
        </w:rPr>
        <w:t xml:space="preserve"> al escrito de acusación formulado por el Ministerio Fiscal o el resto de las acusaciones personadas</w:t>
      </w:r>
      <w:r>
        <w:rPr>
          <w:rFonts w:ascii="Garamond" w:hAnsi="Garamond"/>
          <w:spacing w:val="-3"/>
          <w:sz w:val="28"/>
          <w:szCs w:val="28"/>
        </w:rPr>
        <w:t xml:space="preserve"> (arts. 109 bis y 110 LECrim, reformados por la Ley Orgánica 8/2021).</w:t>
      </w:r>
    </w:p>
    <w:p w14:paraId="073A927B" w14:textId="77777777" w:rsidR="00D524C2" w:rsidRPr="00C55321" w:rsidRDefault="00D524C2" w:rsidP="00CE2F00">
      <w:pPr>
        <w:jc w:val="both"/>
        <w:rPr>
          <w:rFonts w:ascii="Bookman Old Style" w:hAnsi="Bookman Old Style"/>
          <w:szCs w:val="26"/>
        </w:rPr>
      </w:pPr>
    </w:p>
    <w:p w14:paraId="6D122484" w14:textId="77777777" w:rsidR="00135E0D" w:rsidRDefault="00135E0D" w:rsidP="00CE2F00">
      <w:pPr>
        <w:jc w:val="both"/>
        <w:rPr>
          <w:rFonts w:ascii="Garamond" w:hAnsi="Garamond"/>
          <w:sz w:val="26"/>
          <w:szCs w:val="26"/>
        </w:rPr>
      </w:pPr>
    </w:p>
    <w:p w14:paraId="6C0FBFC1" w14:textId="77777777" w:rsidR="002E6409" w:rsidRDefault="00135E0D" w:rsidP="00CE2F00">
      <w:pPr>
        <w:ind w:firstLine="708"/>
        <w:jc w:val="both"/>
        <w:rPr>
          <w:rFonts w:ascii="Bookman Old Style" w:hAnsi="Bookman Old Style"/>
          <w:szCs w:val="26"/>
        </w:rPr>
      </w:pPr>
      <w:r w:rsidRPr="00C622C3">
        <w:rPr>
          <w:rFonts w:ascii="Bookman Old Style" w:hAnsi="Bookman Old Style"/>
          <w:b/>
          <w:szCs w:val="26"/>
        </w:rPr>
        <w:t>Tema X</w:t>
      </w:r>
      <w:r>
        <w:rPr>
          <w:rFonts w:ascii="Bookman Old Style" w:hAnsi="Bookman Old Style"/>
          <w:szCs w:val="26"/>
        </w:rPr>
        <w:t xml:space="preserve">. Pág. </w:t>
      </w:r>
      <w:r w:rsidR="002E6409">
        <w:rPr>
          <w:rFonts w:ascii="Bookman Old Style" w:hAnsi="Bookman Old Style"/>
          <w:szCs w:val="26"/>
        </w:rPr>
        <w:t>16</w:t>
      </w:r>
      <w:r>
        <w:rPr>
          <w:rFonts w:ascii="Bookman Old Style" w:hAnsi="Bookman Old Style"/>
          <w:szCs w:val="26"/>
        </w:rPr>
        <w:t>2. Su</w:t>
      </w:r>
      <w:r w:rsidR="002E6409">
        <w:rPr>
          <w:rFonts w:ascii="Bookman Old Style" w:hAnsi="Bookman Old Style"/>
          <w:szCs w:val="26"/>
        </w:rPr>
        <w:t>stituid el párrafo sexto (Por razón de parentesco…) por el siguiente:</w:t>
      </w:r>
    </w:p>
    <w:p w14:paraId="333C4D38" w14:textId="77777777" w:rsidR="002E6409" w:rsidRDefault="002E6409" w:rsidP="00CE2F00">
      <w:pPr>
        <w:ind w:firstLine="708"/>
        <w:jc w:val="both"/>
        <w:rPr>
          <w:rFonts w:ascii="Garamond" w:hAnsi="Garamond"/>
          <w:sz w:val="26"/>
          <w:szCs w:val="26"/>
        </w:rPr>
      </w:pPr>
    </w:p>
    <w:p w14:paraId="2B6B2BCC" w14:textId="77777777" w:rsidR="002E6409" w:rsidRDefault="002E6409" w:rsidP="002E6409">
      <w:pPr>
        <w:spacing w:line="276" w:lineRule="auto"/>
        <w:ind w:firstLine="708"/>
        <w:jc w:val="both"/>
        <w:rPr>
          <w:rFonts w:ascii="Garamond" w:hAnsi="Garamond"/>
          <w:sz w:val="28"/>
          <w:szCs w:val="28"/>
        </w:rPr>
      </w:pPr>
      <w:r w:rsidRPr="000B664C">
        <w:rPr>
          <w:rFonts w:ascii="Garamond" w:hAnsi="Garamond"/>
          <w:bCs/>
          <w:sz w:val="28"/>
          <w:szCs w:val="28"/>
        </w:rPr>
        <w:t>Por razón de parentesco (art. 261), e</w:t>
      </w:r>
      <w:r w:rsidRPr="000B664C">
        <w:rPr>
          <w:rFonts w:ascii="Garamond" w:hAnsi="Garamond"/>
          <w:sz w:val="28"/>
          <w:szCs w:val="28"/>
        </w:rPr>
        <w:t xml:space="preserve">l cónyuge del delincuente no separado legalmente o de hecho o la persona que conviva con él en análoga </w:t>
      </w:r>
      <w:r w:rsidRPr="000B664C">
        <w:rPr>
          <w:rFonts w:ascii="Garamond" w:hAnsi="Garamond"/>
          <w:sz w:val="28"/>
          <w:szCs w:val="28"/>
        </w:rPr>
        <w:lastRenderedPageBreak/>
        <w:t>relación de afectividad, sus ascendientes y descendientes y sus parientes colaterales hasta el segundo grado inclusive.</w:t>
      </w:r>
      <w:r>
        <w:rPr>
          <w:rFonts w:ascii="Garamond" w:hAnsi="Garamond"/>
          <w:sz w:val="28"/>
          <w:szCs w:val="28"/>
        </w:rPr>
        <w:t xml:space="preserve"> “</w:t>
      </w:r>
      <w:r w:rsidRPr="0049232E">
        <w:rPr>
          <w:rFonts w:ascii="Garamond" w:hAnsi="Garamond"/>
          <w:i/>
          <w:sz w:val="28"/>
          <w:szCs w:val="28"/>
        </w:rPr>
        <w:t>Esta disposición no será aplicable cuando se trate de un delito contra la vida, de un delito de homicidio, de un delito de lesiones de los artículos 149 y 150 del Código Penal, de un delito de maltrato habitual previsto en el artículo 173.2 del Código Penal, de un delito contra la libertad o contra la libertad e indemnidad sexual o de un delito de trata de seres humanos y la víctima del delito sea una persona menor de edad o una persona con discapacidad necesitada de especial protección</w:t>
      </w:r>
      <w:r>
        <w:rPr>
          <w:rFonts w:ascii="Garamond" w:hAnsi="Garamond"/>
          <w:sz w:val="28"/>
          <w:szCs w:val="28"/>
        </w:rPr>
        <w:t>” (art. 261 in fine, añadido por la LO 8/2021, de protección integral de la infancia y la adolescencia frente a la violencia).</w:t>
      </w:r>
    </w:p>
    <w:p w14:paraId="497BEB67" w14:textId="77777777" w:rsidR="002E6409" w:rsidRPr="002E6409" w:rsidRDefault="002E6409" w:rsidP="00CE2F00">
      <w:pPr>
        <w:ind w:firstLine="708"/>
        <w:jc w:val="both"/>
        <w:rPr>
          <w:rFonts w:ascii="Garamond" w:hAnsi="Garamond"/>
          <w:b/>
          <w:sz w:val="26"/>
          <w:szCs w:val="26"/>
        </w:rPr>
      </w:pPr>
    </w:p>
    <w:p w14:paraId="3202B466" w14:textId="77777777" w:rsidR="002E6409" w:rsidRDefault="002E6409" w:rsidP="00CE2F00">
      <w:pPr>
        <w:ind w:firstLine="708"/>
        <w:jc w:val="both"/>
        <w:rPr>
          <w:rFonts w:ascii="Garamond" w:hAnsi="Garamond"/>
          <w:sz w:val="26"/>
          <w:szCs w:val="26"/>
        </w:rPr>
      </w:pPr>
    </w:p>
    <w:p w14:paraId="2CCF68B3" w14:textId="77777777" w:rsidR="002E6409" w:rsidRDefault="00C55321" w:rsidP="00CE2F00">
      <w:pPr>
        <w:ind w:firstLine="708"/>
        <w:jc w:val="both"/>
        <w:rPr>
          <w:rFonts w:ascii="Bookman Old Style" w:hAnsi="Bookman Old Style"/>
          <w:szCs w:val="26"/>
        </w:rPr>
      </w:pPr>
      <w:r w:rsidRPr="00C622C3">
        <w:rPr>
          <w:rFonts w:ascii="Bookman Old Style" w:hAnsi="Bookman Old Style"/>
          <w:b/>
          <w:szCs w:val="26"/>
        </w:rPr>
        <w:t xml:space="preserve">Tema </w:t>
      </w:r>
      <w:r w:rsidR="002E6409">
        <w:rPr>
          <w:rFonts w:ascii="Bookman Old Style" w:hAnsi="Bookman Old Style"/>
          <w:b/>
          <w:szCs w:val="26"/>
        </w:rPr>
        <w:t xml:space="preserve">XI. </w:t>
      </w:r>
      <w:r w:rsidR="002E6409">
        <w:rPr>
          <w:rFonts w:ascii="Bookman Old Style" w:hAnsi="Bookman Old Style"/>
          <w:szCs w:val="26"/>
        </w:rPr>
        <w:t>Pág.</w:t>
      </w:r>
      <w:r w:rsidR="007117A3">
        <w:rPr>
          <w:rFonts w:ascii="Bookman Old Style" w:hAnsi="Bookman Old Style"/>
          <w:szCs w:val="26"/>
        </w:rPr>
        <w:t xml:space="preserve"> 179.</w:t>
      </w:r>
      <w:r w:rsidR="002E6409">
        <w:rPr>
          <w:rFonts w:ascii="Bookman Old Style" w:hAnsi="Bookman Old Style"/>
          <w:szCs w:val="26"/>
        </w:rPr>
        <w:t xml:space="preserve"> El párrafo segundo (1 Sus parientes…) queda redactado de la siguiente manera:</w:t>
      </w:r>
    </w:p>
    <w:p w14:paraId="2BF064FC" w14:textId="77777777" w:rsidR="002C09DC" w:rsidRDefault="002C09DC" w:rsidP="00CE2F00">
      <w:pPr>
        <w:ind w:firstLine="708"/>
        <w:jc w:val="both"/>
        <w:rPr>
          <w:rFonts w:ascii="Bookman Old Style" w:hAnsi="Bookman Old Style"/>
          <w:szCs w:val="26"/>
        </w:rPr>
      </w:pPr>
    </w:p>
    <w:p w14:paraId="405ED5BD" w14:textId="77777777" w:rsidR="002E6409" w:rsidRDefault="002E6409" w:rsidP="002E6409">
      <w:pPr>
        <w:spacing w:line="276" w:lineRule="auto"/>
        <w:jc w:val="both"/>
        <w:rPr>
          <w:rFonts w:ascii="Garamond" w:hAnsi="Garamond"/>
          <w:sz w:val="28"/>
          <w:szCs w:val="28"/>
        </w:rPr>
      </w:pPr>
      <w:r>
        <w:rPr>
          <w:rFonts w:ascii="Garamond" w:hAnsi="Garamond"/>
          <w:sz w:val="28"/>
          <w:szCs w:val="28"/>
        </w:rPr>
        <w:tab/>
      </w:r>
      <w:r w:rsidRPr="00D83B68">
        <w:rPr>
          <w:rFonts w:ascii="Garamond" w:hAnsi="Garamond"/>
          <w:sz w:val="28"/>
          <w:szCs w:val="28"/>
        </w:rPr>
        <w:t>1) Sus parientes en línea directa ascendente y descendente, su cónyuge o persona unida por relación de hecho análoga a la matrimonial y los colaterales hasta el segundo grado (art. 416.1).</w:t>
      </w:r>
      <w:r>
        <w:rPr>
          <w:rFonts w:ascii="Garamond" w:hAnsi="Garamond"/>
          <w:sz w:val="28"/>
          <w:szCs w:val="28"/>
        </w:rPr>
        <w:t xml:space="preserve"> </w:t>
      </w:r>
    </w:p>
    <w:p w14:paraId="113A845C" w14:textId="77777777" w:rsidR="002E6409" w:rsidRDefault="002E6409" w:rsidP="002E6409">
      <w:pPr>
        <w:spacing w:line="276" w:lineRule="auto"/>
        <w:jc w:val="both"/>
        <w:rPr>
          <w:rFonts w:ascii="Garamond" w:hAnsi="Garamond"/>
          <w:sz w:val="28"/>
          <w:szCs w:val="28"/>
        </w:rPr>
      </w:pPr>
      <w:r>
        <w:rPr>
          <w:rFonts w:ascii="Garamond" w:hAnsi="Garamond"/>
          <w:sz w:val="28"/>
          <w:szCs w:val="28"/>
        </w:rPr>
        <w:tab/>
        <w:t>Esta dispensa “</w:t>
      </w:r>
      <w:r w:rsidRPr="007A0468">
        <w:rPr>
          <w:rFonts w:ascii="Garamond" w:hAnsi="Garamond"/>
          <w:i/>
          <w:sz w:val="28"/>
          <w:szCs w:val="28"/>
        </w:rPr>
        <w:t>no será de aplicación en los siguientes casos: 1.º Cuando el testigo tenga atribuida la representación legal o guarda de hecho de la víctima menor de edad o con discapacidad necesitada de especial protección. 2.º Cuando se trate de un delito grave, el testigo sea mayor de edad y la víctima sea una persona menor de edad o una persona con discapacidad necesitada de especial protección. 3.º Cuando por razón de su edad o discapacidad el testigo no pueda comprender el sentido de la dispensa. A tal efecto, el Juez oirá previamente a la persona afectada, pudiendo recabar el auxilio de peritos para resolver. 4.º Cuando el testigo esté o haya estado personado en el procedimiento como acusación particular. 5.º Cuando el testigo haya aceptado declarar durante el procedimiento después de haber sido debidamente informado de su derecho a no hacerlo</w:t>
      </w:r>
      <w:r>
        <w:rPr>
          <w:rFonts w:ascii="Garamond" w:hAnsi="Garamond"/>
          <w:i/>
          <w:sz w:val="28"/>
          <w:szCs w:val="28"/>
        </w:rPr>
        <w:t>”</w:t>
      </w:r>
      <w:r>
        <w:rPr>
          <w:rFonts w:ascii="Garamond" w:hAnsi="Garamond"/>
          <w:sz w:val="28"/>
          <w:szCs w:val="28"/>
        </w:rPr>
        <w:t xml:space="preserve"> (añadido por la LO 8/2021 de protección integral a la infancia y la adolescencia frente a la violencia).</w:t>
      </w:r>
    </w:p>
    <w:p w14:paraId="0CF488F4" w14:textId="77777777" w:rsidR="007117A3" w:rsidRDefault="007117A3" w:rsidP="00CE2F00">
      <w:pPr>
        <w:ind w:firstLine="708"/>
        <w:jc w:val="both"/>
        <w:rPr>
          <w:rFonts w:ascii="Bookman Old Style" w:hAnsi="Bookman Old Style"/>
          <w:szCs w:val="26"/>
        </w:rPr>
      </w:pPr>
    </w:p>
    <w:p w14:paraId="1C36AFB7" w14:textId="77777777" w:rsidR="002E6409" w:rsidRPr="002E6409" w:rsidRDefault="002E6409" w:rsidP="00CE2F00">
      <w:pPr>
        <w:ind w:firstLine="708"/>
        <w:jc w:val="both"/>
        <w:rPr>
          <w:rFonts w:ascii="Bookman Old Style" w:hAnsi="Bookman Old Style"/>
          <w:szCs w:val="26"/>
        </w:rPr>
      </w:pPr>
      <w:r>
        <w:rPr>
          <w:rFonts w:ascii="Bookman Old Style" w:hAnsi="Bookman Old Style"/>
          <w:szCs w:val="26"/>
        </w:rPr>
        <w:t xml:space="preserve"> </w:t>
      </w:r>
    </w:p>
    <w:p w14:paraId="78FFC65C" w14:textId="77777777" w:rsidR="007117A3" w:rsidRDefault="007117A3" w:rsidP="007117A3">
      <w:pPr>
        <w:ind w:firstLine="708"/>
        <w:jc w:val="both"/>
        <w:rPr>
          <w:rFonts w:ascii="Bookman Old Style" w:hAnsi="Bookman Old Style"/>
          <w:szCs w:val="26"/>
        </w:rPr>
      </w:pPr>
      <w:r w:rsidRPr="00C622C3">
        <w:rPr>
          <w:rFonts w:ascii="Bookman Old Style" w:hAnsi="Bookman Old Style"/>
          <w:b/>
          <w:szCs w:val="26"/>
        </w:rPr>
        <w:t xml:space="preserve">Tema </w:t>
      </w:r>
      <w:r>
        <w:rPr>
          <w:rFonts w:ascii="Bookman Old Style" w:hAnsi="Bookman Old Style"/>
          <w:b/>
          <w:szCs w:val="26"/>
        </w:rPr>
        <w:t xml:space="preserve">XI. </w:t>
      </w:r>
      <w:r>
        <w:rPr>
          <w:rFonts w:ascii="Bookman Old Style" w:hAnsi="Bookman Old Style"/>
          <w:szCs w:val="26"/>
        </w:rPr>
        <w:t>Pág. 179. El párrafo último (Los testigos declararán separa…) queda redactado de la siguiente manera:</w:t>
      </w:r>
    </w:p>
    <w:p w14:paraId="0769B12F" w14:textId="77777777" w:rsidR="002E6409" w:rsidRDefault="002E6409" w:rsidP="00CE2F00">
      <w:pPr>
        <w:ind w:firstLine="708"/>
        <w:jc w:val="both"/>
        <w:rPr>
          <w:rFonts w:ascii="Bookman Old Style" w:hAnsi="Bookman Old Style"/>
          <w:b/>
          <w:szCs w:val="26"/>
        </w:rPr>
      </w:pPr>
    </w:p>
    <w:p w14:paraId="7CBF11FE" w14:textId="77777777" w:rsidR="007117A3" w:rsidRDefault="007117A3" w:rsidP="007117A3">
      <w:pPr>
        <w:spacing w:line="276" w:lineRule="auto"/>
        <w:ind w:firstLine="708"/>
        <w:jc w:val="both"/>
        <w:rPr>
          <w:rFonts w:ascii="Garamond" w:hAnsi="Garamond"/>
          <w:sz w:val="28"/>
          <w:szCs w:val="28"/>
        </w:rPr>
      </w:pPr>
      <w:r w:rsidRPr="00D83B68">
        <w:rPr>
          <w:rFonts w:ascii="Garamond" w:hAnsi="Garamond"/>
          <w:sz w:val="28"/>
          <w:szCs w:val="28"/>
        </w:rPr>
        <w:t xml:space="preserve">Los testigos declararán separada y secretamente a presencia del Juez instructor y del </w:t>
      </w:r>
      <w:r>
        <w:rPr>
          <w:rFonts w:ascii="Garamond" w:hAnsi="Garamond"/>
          <w:sz w:val="28"/>
          <w:szCs w:val="28"/>
        </w:rPr>
        <w:t>l</w:t>
      </w:r>
      <w:r w:rsidRPr="00D83B68">
        <w:rPr>
          <w:rFonts w:ascii="Garamond" w:hAnsi="Garamond"/>
          <w:sz w:val="28"/>
          <w:szCs w:val="28"/>
        </w:rPr>
        <w:t>etrado de la Administración de Justicia (art. 435), bajo juramento o promesa de decir verdad si son mayores de edad. Los que tengan la condición de víctimas del delito podrán hacerse acompañar por su representante legal y por una persona de su elección</w:t>
      </w:r>
      <w:r>
        <w:rPr>
          <w:rFonts w:ascii="Garamond" w:hAnsi="Garamond"/>
          <w:sz w:val="28"/>
          <w:szCs w:val="28"/>
        </w:rPr>
        <w:t xml:space="preserve">, y en el caso de testigos </w:t>
      </w:r>
      <w:r w:rsidRPr="00862A97">
        <w:rPr>
          <w:rFonts w:ascii="Garamond" w:hAnsi="Garamond"/>
          <w:sz w:val="28"/>
          <w:szCs w:val="28"/>
        </w:rPr>
        <w:t>menor</w:t>
      </w:r>
      <w:r>
        <w:rPr>
          <w:rFonts w:ascii="Garamond" w:hAnsi="Garamond"/>
          <w:sz w:val="28"/>
          <w:szCs w:val="28"/>
        </w:rPr>
        <w:t>es</w:t>
      </w:r>
      <w:r w:rsidRPr="00862A97">
        <w:rPr>
          <w:rFonts w:ascii="Garamond" w:hAnsi="Garamond"/>
          <w:sz w:val="28"/>
          <w:szCs w:val="28"/>
        </w:rPr>
        <w:t xml:space="preserve"> de catorce años o persona</w:t>
      </w:r>
      <w:r>
        <w:rPr>
          <w:rFonts w:ascii="Garamond" w:hAnsi="Garamond"/>
          <w:sz w:val="28"/>
          <w:szCs w:val="28"/>
        </w:rPr>
        <w:t>s</w:t>
      </w:r>
      <w:r w:rsidRPr="00862A97">
        <w:rPr>
          <w:rFonts w:ascii="Garamond" w:hAnsi="Garamond"/>
          <w:sz w:val="28"/>
          <w:szCs w:val="28"/>
        </w:rPr>
        <w:t xml:space="preserve"> con discapacidad necesitada</w:t>
      </w:r>
      <w:r>
        <w:rPr>
          <w:rFonts w:ascii="Garamond" w:hAnsi="Garamond"/>
          <w:sz w:val="28"/>
          <w:szCs w:val="28"/>
        </w:rPr>
        <w:t>s</w:t>
      </w:r>
      <w:r w:rsidRPr="00862A97">
        <w:rPr>
          <w:rFonts w:ascii="Garamond" w:hAnsi="Garamond"/>
          <w:sz w:val="28"/>
          <w:szCs w:val="28"/>
        </w:rPr>
        <w:t xml:space="preserve"> de especial protección</w:t>
      </w:r>
      <w:r>
        <w:rPr>
          <w:rFonts w:ascii="Garamond" w:hAnsi="Garamond"/>
          <w:sz w:val="28"/>
          <w:szCs w:val="28"/>
        </w:rPr>
        <w:t xml:space="preserve">, en procesos </w:t>
      </w:r>
      <w:r w:rsidRPr="00862A97">
        <w:rPr>
          <w:rFonts w:ascii="Garamond" w:hAnsi="Garamond"/>
          <w:sz w:val="28"/>
          <w:szCs w:val="28"/>
        </w:rPr>
        <w:t>delito</w:t>
      </w:r>
      <w:r>
        <w:rPr>
          <w:rFonts w:ascii="Garamond" w:hAnsi="Garamond"/>
          <w:sz w:val="28"/>
          <w:szCs w:val="28"/>
        </w:rPr>
        <w:t>s</w:t>
      </w:r>
      <w:r w:rsidRPr="00862A97">
        <w:rPr>
          <w:rFonts w:ascii="Garamond" w:hAnsi="Garamond"/>
          <w:sz w:val="28"/>
          <w:szCs w:val="28"/>
        </w:rPr>
        <w:t xml:space="preserve"> de homicidio, lesiones, contra la libertad, contra </w:t>
      </w:r>
      <w:r w:rsidRPr="00862A97">
        <w:rPr>
          <w:rFonts w:ascii="Garamond" w:hAnsi="Garamond"/>
          <w:sz w:val="28"/>
          <w:szCs w:val="28"/>
        </w:rPr>
        <w:lastRenderedPageBreak/>
        <w:t xml:space="preserve">la integridad moral, trata de seres humanos, contra la libertad e indemnidad sexuales, contra la intimidad, contra las relaciones familiares, relativos al ejercicio de derechos fundamentales y libertades públicas, de organizaciones y grupos criminales y terroristas y de terrorismo, </w:t>
      </w:r>
      <w:r>
        <w:rPr>
          <w:rFonts w:ascii="Garamond" w:hAnsi="Garamond"/>
          <w:sz w:val="28"/>
          <w:szCs w:val="28"/>
        </w:rPr>
        <w:t>la Ley Orgánica 8/2021, de protección integral a la infancia y la adolescencia, ha modificado el artículo 433 LECrim, de manera que a)</w:t>
      </w:r>
      <w:r w:rsidRPr="00862A97">
        <w:rPr>
          <w:rFonts w:ascii="Garamond" w:hAnsi="Garamond"/>
          <w:sz w:val="28"/>
          <w:szCs w:val="28"/>
        </w:rPr>
        <w:t xml:space="preserve"> la audiencia</w:t>
      </w:r>
      <w:r>
        <w:rPr>
          <w:rFonts w:ascii="Garamond" w:hAnsi="Garamond"/>
          <w:sz w:val="28"/>
          <w:szCs w:val="28"/>
        </w:rPr>
        <w:t xml:space="preserve"> se practicará, en todo caso, </w:t>
      </w:r>
      <w:r w:rsidRPr="00862A97">
        <w:rPr>
          <w:rFonts w:ascii="Garamond" w:hAnsi="Garamond"/>
          <w:sz w:val="28"/>
          <w:szCs w:val="28"/>
        </w:rPr>
        <w:t xml:space="preserve">como prueba preconstituida, </w:t>
      </w:r>
      <w:r>
        <w:rPr>
          <w:rFonts w:ascii="Garamond" w:hAnsi="Garamond"/>
          <w:sz w:val="28"/>
          <w:szCs w:val="28"/>
        </w:rPr>
        <w:t xml:space="preserve">b) el Juez contará con el apoyo </w:t>
      </w:r>
      <w:r w:rsidRPr="00862A97">
        <w:rPr>
          <w:rFonts w:ascii="Garamond" w:hAnsi="Garamond"/>
          <w:sz w:val="28"/>
          <w:szCs w:val="28"/>
        </w:rPr>
        <w:t>de equipos psicosociales</w:t>
      </w:r>
      <w:r>
        <w:rPr>
          <w:rFonts w:ascii="Garamond" w:hAnsi="Garamond"/>
          <w:sz w:val="28"/>
          <w:szCs w:val="28"/>
        </w:rPr>
        <w:t xml:space="preserve">, c) </w:t>
      </w:r>
      <w:r w:rsidRPr="00862A97">
        <w:rPr>
          <w:rFonts w:ascii="Garamond" w:hAnsi="Garamond"/>
          <w:sz w:val="28"/>
          <w:szCs w:val="28"/>
        </w:rPr>
        <w:t>las partes trasladarán al</w:t>
      </w:r>
      <w:r>
        <w:rPr>
          <w:rFonts w:ascii="Garamond" w:hAnsi="Garamond"/>
          <w:sz w:val="28"/>
          <w:szCs w:val="28"/>
        </w:rPr>
        <w:t xml:space="preserve"> Juez </w:t>
      </w:r>
      <w:r w:rsidRPr="00862A97">
        <w:rPr>
          <w:rFonts w:ascii="Garamond" w:hAnsi="Garamond"/>
          <w:sz w:val="28"/>
          <w:szCs w:val="28"/>
        </w:rPr>
        <w:t>las preguntas que estimen oportunas</w:t>
      </w:r>
      <w:r>
        <w:rPr>
          <w:rFonts w:ascii="Garamond" w:hAnsi="Garamond"/>
          <w:sz w:val="28"/>
          <w:szCs w:val="28"/>
        </w:rPr>
        <w:t xml:space="preserve">, d) la </w:t>
      </w:r>
      <w:r w:rsidRPr="00862A97">
        <w:rPr>
          <w:rFonts w:ascii="Garamond" w:hAnsi="Garamond"/>
          <w:sz w:val="28"/>
          <w:szCs w:val="28"/>
        </w:rPr>
        <w:t>declaración siempre será grabada</w:t>
      </w:r>
      <w:r>
        <w:rPr>
          <w:rFonts w:ascii="Garamond" w:hAnsi="Garamond"/>
          <w:sz w:val="28"/>
          <w:szCs w:val="28"/>
        </w:rPr>
        <w:t xml:space="preserve"> y e) si </w:t>
      </w:r>
      <w:r w:rsidRPr="00211314">
        <w:rPr>
          <w:rFonts w:ascii="Garamond" w:hAnsi="Garamond"/>
          <w:sz w:val="28"/>
          <w:szCs w:val="28"/>
        </w:rPr>
        <w:t xml:space="preserve">el </w:t>
      </w:r>
      <w:r>
        <w:rPr>
          <w:rFonts w:ascii="Garamond" w:hAnsi="Garamond"/>
          <w:sz w:val="28"/>
          <w:szCs w:val="28"/>
        </w:rPr>
        <w:t>investi</w:t>
      </w:r>
      <w:r w:rsidRPr="00211314">
        <w:rPr>
          <w:rFonts w:ascii="Garamond" w:hAnsi="Garamond"/>
          <w:sz w:val="28"/>
          <w:szCs w:val="28"/>
        </w:rPr>
        <w:t>gad</w:t>
      </w:r>
      <w:r>
        <w:rPr>
          <w:rFonts w:ascii="Garamond" w:hAnsi="Garamond"/>
          <w:sz w:val="28"/>
          <w:szCs w:val="28"/>
        </w:rPr>
        <w:t>o</w:t>
      </w:r>
      <w:r w:rsidRPr="00211314">
        <w:rPr>
          <w:rFonts w:ascii="Garamond" w:hAnsi="Garamond"/>
          <w:sz w:val="28"/>
          <w:szCs w:val="28"/>
        </w:rPr>
        <w:t xml:space="preserve"> estuvier</w:t>
      </w:r>
      <w:r>
        <w:rPr>
          <w:rFonts w:ascii="Garamond" w:hAnsi="Garamond"/>
          <w:sz w:val="28"/>
          <w:szCs w:val="28"/>
        </w:rPr>
        <w:t>a</w:t>
      </w:r>
      <w:r w:rsidRPr="00211314">
        <w:rPr>
          <w:rFonts w:ascii="Garamond" w:hAnsi="Garamond"/>
          <w:sz w:val="28"/>
          <w:szCs w:val="28"/>
        </w:rPr>
        <w:t xml:space="preserve"> presente se evitará su confrontación visual con el testigo, utilizando cualquier medio técnico.</w:t>
      </w:r>
    </w:p>
    <w:p w14:paraId="492226C6" w14:textId="77777777" w:rsidR="007117A3" w:rsidRDefault="007117A3" w:rsidP="007117A3">
      <w:pPr>
        <w:spacing w:line="276" w:lineRule="auto"/>
        <w:ind w:firstLine="708"/>
        <w:jc w:val="both"/>
        <w:rPr>
          <w:rFonts w:ascii="Garamond" w:hAnsi="Garamond"/>
          <w:sz w:val="28"/>
          <w:szCs w:val="28"/>
        </w:rPr>
      </w:pPr>
    </w:p>
    <w:p w14:paraId="3E364A2E" w14:textId="77777777" w:rsidR="007117A3" w:rsidRDefault="007117A3" w:rsidP="007117A3">
      <w:pPr>
        <w:spacing w:line="276" w:lineRule="auto"/>
        <w:ind w:firstLine="708"/>
        <w:jc w:val="both"/>
        <w:rPr>
          <w:rFonts w:ascii="Garamond" w:hAnsi="Garamond"/>
          <w:sz w:val="28"/>
          <w:szCs w:val="28"/>
        </w:rPr>
      </w:pPr>
      <w:r>
        <w:rPr>
          <w:rFonts w:ascii="Garamond" w:hAnsi="Garamond"/>
          <w:sz w:val="28"/>
          <w:szCs w:val="28"/>
        </w:rPr>
        <w:t>En la pág. 180 se suprime el párrafo cuarto (La declaración de los testigos menores…)</w:t>
      </w:r>
      <w:r w:rsidR="003C442D">
        <w:rPr>
          <w:rFonts w:ascii="Garamond" w:hAnsi="Garamond"/>
          <w:sz w:val="28"/>
          <w:szCs w:val="28"/>
        </w:rPr>
        <w:t>.</w:t>
      </w:r>
    </w:p>
    <w:p w14:paraId="43C88ECB" w14:textId="77777777" w:rsidR="003C442D" w:rsidRDefault="003C442D" w:rsidP="007117A3">
      <w:pPr>
        <w:spacing w:line="276" w:lineRule="auto"/>
        <w:ind w:firstLine="708"/>
        <w:jc w:val="both"/>
        <w:rPr>
          <w:rFonts w:ascii="Garamond" w:hAnsi="Garamond"/>
          <w:sz w:val="28"/>
          <w:szCs w:val="28"/>
        </w:rPr>
      </w:pPr>
    </w:p>
    <w:p w14:paraId="001AD18D" w14:textId="77777777" w:rsidR="003C442D" w:rsidRPr="002E6409" w:rsidRDefault="003C442D" w:rsidP="003C442D">
      <w:pPr>
        <w:ind w:firstLine="708"/>
        <w:jc w:val="both"/>
        <w:rPr>
          <w:rFonts w:ascii="Bookman Old Style" w:hAnsi="Bookman Old Style"/>
          <w:szCs w:val="26"/>
        </w:rPr>
      </w:pPr>
    </w:p>
    <w:p w14:paraId="1FE5AC7F" w14:textId="77777777" w:rsidR="003C442D" w:rsidRDefault="003C442D" w:rsidP="003C442D">
      <w:pPr>
        <w:ind w:firstLine="708"/>
        <w:jc w:val="both"/>
        <w:rPr>
          <w:rFonts w:ascii="Bookman Old Style" w:hAnsi="Bookman Old Style"/>
          <w:szCs w:val="26"/>
        </w:rPr>
      </w:pPr>
      <w:r w:rsidRPr="00C622C3">
        <w:rPr>
          <w:rFonts w:ascii="Bookman Old Style" w:hAnsi="Bookman Old Style"/>
          <w:b/>
          <w:szCs w:val="26"/>
        </w:rPr>
        <w:t xml:space="preserve">Tema </w:t>
      </w:r>
      <w:r>
        <w:rPr>
          <w:rFonts w:ascii="Bookman Old Style" w:hAnsi="Bookman Old Style"/>
          <w:b/>
          <w:szCs w:val="26"/>
        </w:rPr>
        <w:t xml:space="preserve">XII. </w:t>
      </w:r>
      <w:r>
        <w:rPr>
          <w:rFonts w:ascii="Bookman Old Style" w:hAnsi="Bookman Old Style"/>
          <w:szCs w:val="26"/>
        </w:rPr>
        <w:t>Pág. 193. El párrafo último (6ª. Despacho profesional…) queda redactado de la siguiente manera:</w:t>
      </w:r>
    </w:p>
    <w:p w14:paraId="4917464D" w14:textId="77777777" w:rsidR="003C442D" w:rsidRDefault="003C442D" w:rsidP="003C442D">
      <w:pPr>
        <w:ind w:firstLine="708"/>
        <w:jc w:val="both"/>
        <w:rPr>
          <w:rFonts w:ascii="Bookman Old Style" w:hAnsi="Bookman Old Style"/>
          <w:szCs w:val="26"/>
        </w:rPr>
      </w:pPr>
    </w:p>
    <w:p w14:paraId="1CF0C8BF" w14:textId="77777777" w:rsidR="003C442D" w:rsidRPr="002D02A3" w:rsidRDefault="003C442D" w:rsidP="003C442D">
      <w:pPr>
        <w:spacing w:line="276" w:lineRule="auto"/>
        <w:jc w:val="both"/>
        <w:rPr>
          <w:rFonts w:ascii="Garamond" w:hAnsi="Garamond"/>
          <w:sz w:val="28"/>
          <w:szCs w:val="28"/>
        </w:rPr>
      </w:pPr>
      <w:r>
        <w:rPr>
          <w:rFonts w:ascii="Garamond" w:hAnsi="Garamond"/>
          <w:sz w:val="28"/>
          <w:szCs w:val="28"/>
        </w:rPr>
        <w:tab/>
      </w:r>
      <w:r w:rsidRPr="002D02A3">
        <w:rPr>
          <w:rFonts w:ascii="Garamond" w:hAnsi="Garamond"/>
          <w:sz w:val="28"/>
          <w:szCs w:val="28"/>
        </w:rPr>
        <w:t>6ª) Despacho profesional de un abogado. El vigente Estatuto General de la Abogacía Española, aprobado por Real Decreto 135/2021 prevé la presencia del Decano del Colegio, a petición del interesado, en la práctica del registro, velando por la salvaguarda del secreto profesional y porque el registro se limite exclusivamente a la investigación del ilícito por razón del cual fue acordado.</w:t>
      </w:r>
    </w:p>
    <w:p w14:paraId="5C5219E2" w14:textId="77777777" w:rsidR="003C442D" w:rsidRDefault="003C442D" w:rsidP="003C442D">
      <w:pPr>
        <w:ind w:firstLine="708"/>
        <w:jc w:val="both"/>
        <w:rPr>
          <w:rFonts w:ascii="Bookman Old Style" w:hAnsi="Bookman Old Style"/>
          <w:szCs w:val="26"/>
        </w:rPr>
      </w:pPr>
    </w:p>
    <w:p w14:paraId="54B7CC6A" w14:textId="77777777" w:rsidR="003C442D" w:rsidRDefault="003C442D" w:rsidP="007117A3">
      <w:pPr>
        <w:spacing w:line="276" w:lineRule="auto"/>
        <w:ind w:firstLine="708"/>
        <w:jc w:val="both"/>
        <w:rPr>
          <w:rFonts w:ascii="Garamond" w:hAnsi="Garamond"/>
          <w:sz w:val="28"/>
          <w:szCs w:val="28"/>
        </w:rPr>
      </w:pPr>
    </w:p>
    <w:p w14:paraId="2A29EC21" w14:textId="77777777" w:rsidR="003C442D" w:rsidRPr="002E6409" w:rsidRDefault="003C442D" w:rsidP="003C442D">
      <w:pPr>
        <w:ind w:firstLine="708"/>
        <w:jc w:val="both"/>
        <w:rPr>
          <w:rFonts w:ascii="Bookman Old Style" w:hAnsi="Bookman Old Style"/>
          <w:szCs w:val="26"/>
        </w:rPr>
      </w:pPr>
    </w:p>
    <w:p w14:paraId="25547DDD" w14:textId="77777777" w:rsidR="003C442D" w:rsidRDefault="003C442D" w:rsidP="003C442D">
      <w:pPr>
        <w:ind w:firstLine="708"/>
        <w:jc w:val="both"/>
        <w:rPr>
          <w:rFonts w:ascii="Bookman Old Style" w:hAnsi="Bookman Old Style"/>
          <w:szCs w:val="26"/>
        </w:rPr>
      </w:pPr>
      <w:r w:rsidRPr="00C622C3">
        <w:rPr>
          <w:rFonts w:ascii="Bookman Old Style" w:hAnsi="Bookman Old Style"/>
          <w:b/>
          <w:szCs w:val="26"/>
        </w:rPr>
        <w:t xml:space="preserve">Tema </w:t>
      </w:r>
      <w:r>
        <w:rPr>
          <w:rFonts w:ascii="Bookman Old Style" w:hAnsi="Bookman Old Style"/>
          <w:b/>
          <w:szCs w:val="26"/>
        </w:rPr>
        <w:t xml:space="preserve">XV. </w:t>
      </w:r>
      <w:r>
        <w:rPr>
          <w:rFonts w:ascii="Bookman Old Style" w:hAnsi="Bookman Old Style"/>
          <w:szCs w:val="26"/>
        </w:rPr>
        <w:t>Pág. 242. El párrafo segundo (La lucha…) queda redactado de la siguiente manera:</w:t>
      </w:r>
    </w:p>
    <w:p w14:paraId="356D52E4" w14:textId="77777777" w:rsidR="007117A3" w:rsidRDefault="007117A3" w:rsidP="00CE2F00">
      <w:pPr>
        <w:ind w:firstLine="708"/>
        <w:jc w:val="both"/>
        <w:rPr>
          <w:rFonts w:ascii="Bookman Old Style" w:hAnsi="Bookman Old Style"/>
          <w:b/>
          <w:szCs w:val="26"/>
        </w:rPr>
      </w:pPr>
    </w:p>
    <w:p w14:paraId="3E11B2DF" w14:textId="77777777" w:rsidR="003C442D" w:rsidRDefault="003C442D" w:rsidP="003C442D">
      <w:pPr>
        <w:tabs>
          <w:tab w:val="left" w:pos="-720"/>
        </w:tabs>
        <w:spacing w:line="276" w:lineRule="auto"/>
        <w:jc w:val="both"/>
        <w:rPr>
          <w:rFonts w:ascii="Garamond" w:hAnsi="Garamond"/>
          <w:sz w:val="28"/>
          <w:szCs w:val="28"/>
        </w:rPr>
      </w:pPr>
      <w:r>
        <w:rPr>
          <w:rFonts w:ascii="Garamond" w:hAnsi="Garamond"/>
          <w:sz w:val="28"/>
          <w:szCs w:val="28"/>
        </w:rPr>
        <w:tab/>
      </w:r>
      <w:r w:rsidRPr="001B7AE9">
        <w:rPr>
          <w:rFonts w:ascii="Garamond" w:hAnsi="Garamond"/>
          <w:sz w:val="28"/>
          <w:szCs w:val="28"/>
        </w:rPr>
        <w:t>La lucha contra la violencia de género ha propiciado importantes cambios legislativos, a escala internacional y nacional. En este último ámbito destaca sobremanera la ley Orgánica 1/2004, de 28 de diciembre, de Medidas de Protección Integral contra la Violencia de Género. Esta ley nació con el objetivo de proteger a las mujeres contra la violencia ejercida sobre estas por parte de quienes sean o hayan sido sus cónyuges o de quienes estén o hayan estado ligados a ellas por relaciones similares de afectividad aún sin convivencia (art. 1.1), comprendiendo todo acto de violencia física y psicológica, incluidas las agresiones a la libertad sexual, las amenazas, las coacciones o las privaciones arbitrarias de libertad (art. 3.1)</w:t>
      </w:r>
      <w:r>
        <w:rPr>
          <w:rFonts w:ascii="Garamond" w:hAnsi="Garamond"/>
          <w:sz w:val="28"/>
          <w:szCs w:val="28"/>
        </w:rPr>
        <w:t>, así como l</w:t>
      </w:r>
      <w:r w:rsidRPr="00323A7C">
        <w:rPr>
          <w:rFonts w:ascii="Garamond" w:hAnsi="Garamond"/>
          <w:sz w:val="28"/>
          <w:szCs w:val="28"/>
        </w:rPr>
        <w:t xml:space="preserve">a </w:t>
      </w:r>
      <w:r>
        <w:rPr>
          <w:rFonts w:ascii="Garamond" w:hAnsi="Garamond"/>
          <w:sz w:val="28"/>
          <w:szCs w:val="28"/>
        </w:rPr>
        <w:t xml:space="preserve">violencia </w:t>
      </w:r>
      <w:r w:rsidRPr="00323A7C">
        <w:rPr>
          <w:rFonts w:ascii="Garamond" w:hAnsi="Garamond"/>
          <w:sz w:val="28"/>
          <w:szCs w:val="28"/>
        </w:rPr>
        <w:t xml:space="preserve">que con el objetivo de causar perjuicio o daño a las mujeres se ejerza sobre sus familiares o allegados </w:t>
      </w:r>
      <w:r w:rsidRPr="00323A7C">
        <w:rPr>
          <w:rFonts w:ascii="Garamond" w:hAnsi="Garamond"/>
          <w:sz w:val="28"/>
          <w:szCs w:val="28"/>
        </w:rPr>
        <w:lastRenderedPageBreak/>
        <w:t>menores de edad por parte de las personas indicadas en el apartado primero</w:t>
      </w:r>
      <w:r>
        <w:rPr>
          <w:rFonts w:ascii="Garamond" w:hAnsi="Garamond"/>
          <w:sz w:val="28"/>
          <w:szCs w:val="28"/>
        </w:rPr>
        <w:t xml:space="preserve"> (art. 1.4, añadido por la LO 8/2021, de protección integral a la infancia y la adolescencia frente a la violencia)</w:t>
      </w:r>
      <w:r w:rsidRPr="00323A7C">
        <w:rPr>
          <w:rFonts w:ascii="Garamond" w:hAnsi="Garamond"/>
          <w:sz w:val="28"/>
          <w:szCs w:val="28"/>
        </w:rPr>
        <w:t>.</w:t>
      </w:r>
    </w:p>
    <w:p w14:paraId="4807D7C6" w14:textId="77777777" w:rsidR="003C442D" w:rsidRDefault="003C442D" w:rsidP="003C442D">
      <w:pPr>
        <w:tabs>
          <w:tab w:val="left" w:pos="-720"/>
        </w:tabs>
        <w:spacing w:line="276" w:lineRule="auto"/>
        <w:jc w:val="both"/>
        <w:rPr>
          <w:rFonts w:ascii="Garamond" w:hAnsi="Garamond"/>
          <w:sz w:val="28"/>
          <w:szCs w:val="28"/>
        </w:rPr>
      </w:pPr>
    </w:p>
    <w:p w14:paraId="6FED9AB2" w14:textId="77777777" w:rsidR="003C442D" w:rsidRDefault="003C442D" w:rsidP="003C442D">
      <w:pPr>
        <w:ind w:firstLine="708"/>
        <w:jc w:val="both"/>
        <w:rPr>
          <w:rFonts w:ascii="Bookman Old Style" w:hAnsi="Bookman Old Style"/>
          <w:szCs w:val="26"/>
        </w:rPr>
      </w:pPr>
      <w:r w:rsidRPr="00C622C3">
        <w:rPr>
          <w:rFonts w:ascii="Bookman Old Style" w:hAnsi="Bookman Old Style"/>
          <w:b/>
          <w:szCs w:val="26"/>
        </w:rPr>
        <w:t xml:space="preserve">Tema </w:t>
      </w:r>
      <w:r>
        <w:rPr>
          <w:rFonts w:ascii="Bookman Old Style" w:hAnsi="Bookman Old Style"/>
          <w:b/>
          <w:szCs w:val="26"/>
        </w:rPr>
        <w:t xml:space="preserve">XV. </w:t>
      </w:r>
      <w:r>
        <w:rPr>
          <w:rFonts w:ascii="Bookman Old Style" w:hAnsi="Bookman Old Style"/>
          <w:szCs w:val="26"/>
        </w:rPr>
        <w:t>Pág. 251. El apartado CONTENIDO queda redactado de la siguiente manera:</w:t>
      </w:r>
    </w:p>
    <w:p w14:paraId="0954A1B8" w14:textId="77777777" w:rsidR="003C442D" w:rsidRDefault="003C442D" w:rsidP="003C442D">
      <w:pPr>
        <w:tabs>
          <w:tab w:val="left" w:pos="-720"/>
        </w:tabs>
        <w:spacing w:line="276" w:lineRule="auto"/>
        <w:jc w:val="both"/>
        <w:rPr>
          <w:rFonts w:ascii="Garamond" w:hAnsi="Garamond"/>
          <w:sz w:val="28"/>
          <w:szCs w:val="28"/>
        </w:rPr>
      </w:pPr>
    </w:p>
    <w:p w14:paraId="0ECCB77C" w14:textId="77777777" w:rsidR="003C442D" w:rsidRPr="001B7AE9" w:rsidRDefault="003C442D" w:rsidP="003C442D">
      <w:pPr>
        <w:spacing w:line="276" w:lineRule="auto"/>
        <w:jc w:val="both"/>
        <w:rPr>
          <w:rFonts w:ascii="Garamond" w:hAnsi="Garamond"/>
          <w:sz w:val="28"/>
          <w:szCs w:val="28"/>
        </w:rPr>
      </w:pPr>
      <w:r>
        <w:rPr>
          <w:rFonts w:ascii="Garamond" w:hAnsi="Garamond"/>
          <w:sz w:val="28"/>
          <w:szCs w:val="28"/>
        </w:rPr>
        <w:tab/>
      </w:r>
      <w:r w:rsidRPr="001B7AE9">
        <w:rPr>
          <w:rFonts w:ascii="Garamond" w:hAnsi="Garamond"/>
          <w:sz w:val="28"/>
          <w:szCs w:val="28"/>
        </w:rPr>
        <w:t>CONTENIDO.- La orden de protección confiere a la víctima de los hechos mencionados en el apartado 1 un estatuto integral de protección que comprenderá las medidas cautelares de orden civil y penal contempladas en este artículo y aquellas otras medidas de asistencia y protección social establecidas en el ordenamiento jurídico.</w:t>
      </w:r>
    </w:p>
    <w:p w14:paraId="5EA7C6E5" w14:textId="77777777" w:rsidR="003C442D" w:rsidRPr="001B7AE9" w:rsidRDefault="003C442D" w:rsidP="003C442D">
      <w:pPr>
        <w:spacing w:line="276" w:lineRule="auto"/>
        <w:jc w:val="both"/>
        <w:rPr>
          <w:rFonts w:ascii="Garamond" w:hAnsi="Garamond"/>
          <w:sz w:val="28"/>
          <w:szCs w:val="28"/>
        </w:rPr>
      </w:pPr>
      <w:r w:rsidRPr="001B7AE9">
        <w:rPr>
          <w:rFonts w:ascii="Garamond" w:hAnsi="Garamond"/>
          <w:sz w:val="28"/>
          <w:szCs w:val="28"/>
        </w:rPr>
        <w:tab/>
        <w:t>La orden de protección podrá hacerse valer ante cualquier autoridad y Administración pública.</w:t>
      </w:r>
    </w:p>
    <w:p w14:paraId="65861788" w14:textId="77777777" w:rsidR="003C442D" w:rsidRPr="001B7AE9" w:rsidRDefault="003C442D" w:rsidP="003C442D">
      <w:pPr>
        <w:spacing w:line="276" w:lineRule="auto"/>
        <w:jc w:val="both"/>
        <w:rPr>
          <w:rFonts w:ascii="Garamond" w:hAnsi="Garamond"/>
          <w:sz w:val="28"/>
          <w:szCs w:val="28"/>
        </w:rPr>
      </w:pPr>
      <w:r w:rsidRPr="001B7AE9">
        <w:rPr>
          <w:rFonts w:ascii="Garamond" w:hAnsi="Garamond"/>
          <w:sz w:val="28"/>
          <w:szCs w:val="28"/>
        </w:rPr>
        <w:tab/>
        <w:t>Las medidas cautelares de carácter penal podrán consistir en cualesquiera de las previstas en la legislación procesal criminal. Sus requisitos, contenido y vigencia serán los establecidos con carácter general en esta ley. Se adoptarán por el juez de instrucción atendiendo a la necesidad de protección integral e inmediata de la víctima</w:t>
      </w:r>
      <w:r>
        <w:rPr>
          <w:rFonts w:ascii="Garamond" w:hAnsi="Garamond"/>
          <w:sz w:val="28"/>
          <w:szCs w:val="28"/>
        </w:rPr>
        <w:t xml:space="preserve"> y, en su caso, de las personas sometidas a su patria potestad, tutela, curatela, guarda y acogimiento (este último inciso añadido por la Ley Orgánica 8/2021, de protección integral a la infancia y la adolescencia frente a la violencia)</w:t>
      </w:r>
      <w:r w:rsidRPr="001B7AE9">
        <w:rPr>
          <w:rFonts w:ascii="Garamond" w:hAnsi="Garamond"/>
          <w:sz w:val="28"/>
          <w:szCs w:val="28"/>
        </w:rPr>
        <w:t>. El incumplimiento de las medidas cautelares penales constituye un delito tipificado en el artículo 468 CP, castigado con pena distinta según que se hubiera quebrantado una situación de privación de libertad o no.</w:t>
      </w:r>
    </w:p>
    <w:p w14:paraId="64419C2A" w14:textId="77777777" w:rsidR="003C442D" w:rsidRPr="001B7AE9" w:rsidRDefault="003C442D" w:rsidP="003C442D">
      <w:pPr>
        <w:spacing w:line="276" w:lineRule="auto"/>
        <w:jc w:val="both"/>
        <w:rPr>
          <w:rFonts w:ascii="Garamond" w:hAnsi="Garamond"/>
          <w:sz w:val="28"/>
          <w:szCs w:val="28"/>
        </w:rPr>
      </w:pPr>
      <w:r w:rsidRPr="001B7AE9">
        <w:rPr>
          <w:rFonts w:ascii="Garamond" w:hAnsi="Garamond"/>
          <w:sz w:val="28"/>
          <w:szCs w:val="28"/>
        </w:rPr>
        <w:tab/>
        <w:t xml:space="preserve">Las medidas de naturaleza civil deberán ser solicitadas por la víctima o su representante legal, o bien por el Ministerio Fiscal cuando existan hijos menores o personas con la capacidad judicialmente modificada, determinando su régimen de cumplimiento y, si procediera, las medidas complementarias a ellas que fueran precisas, siempre que no hubieran sido previamente acordadas por un órgano del orden jurisdiccional civil, y sin perjuicio de las medidas previstas en el artículo 158 del Código Civil. Cuando existan menores o personas con </w:t>
      </w:r>
      <w:r>
        <w:rPr>
          <w:rFonts w:ascii="Garamond" w:hAnsi="Garamond"/>
          <w:sz w:val="28"/>
          <w:szCs w:val="28"/>
        </w:rPr>
        <w:t xml:space="preserve">la </w:t>
      </w:r>
      <w:r w:rsidRPr="001B7AE9">
        <w:rPr>
          <w:rFonts w:ascii="Garamond" w:hAnsi="Garamond"/>
          <w:sz w:val="28"/>
          <w:szCs w:val="28"/>
        </w:rPr>
        <w:t>capacidad judicialmente modificada que convivan con la víctima y dependan de ella, el Juez deberá pronunciarse en todo caso, incluso de oficio, sobre la pertinencia de la adopción de las referidas medidas.</w:t>
      </w:r>
    </w:p>
    <w:p w14:paraId="4410D658" w14:textId="77777777" w:rsidR="003C442D" w:rsidRDefault="003C442D" w:rsidP="003C442D">
      <w:pPr>
        <w:spacing w:line="276" w:lineRule="auto"/>
        <w:jc w:val="both"/>
        <w:rPr>
          <w:rFonts w:ascii="Garamond" w:hAnsi="Garamond"/>
          <w:sz w:val="28"/>
          <w:szCs w:val="28"/>
        </w:rPr>
      </w:pPr>
      <w:r w:rsidRPr="001B7AE9">
        <w:rPr>
          <w:rFonts w:ascii="Garamond" w:hAnsi="Garamond"/>
          <w:sz w:val="28"/>
          <w:szCs w:val="28"/>
        </w:rPr>
        <w:tab/>
        <w:t>Estas medidas podrán consistir en la</w:t>
      </w:r>
      <w:r>
        <w:rPr>
          <w:rFonts w:ascii="Garamond" w:hAnsi="Garamond"/>
          <w:sz w:val="28"/>
          <w:szCs w:val="28"/>
        </w:rPr>
        <w:t xml:space="preserve"> forma en que se ejercerá la patria potestad, acogimiento, tutela, curatela o guarda de hecho (inciso añadido por la Ley Orgánica 8/2021),</w:t>
      </w:r>
      <w:r w:rsidRPr="001B7AE9">
        <w:rPr>
          <w:rFonts w:ascii="Garamond" w:hAnsi="Garamond"/>
          <w:sz w:val="28"/>
          <w:szCs w:val="28"/>
        </w:rPr>
        <w:t xml:space="preserve"> atribución del uso y disfrute de la vivienda familiar, determinar el régimen de guarda y custodia, visitas, comunicación y estancia con los menores o personas con la capacidad judicialmente modificada, el régimen </w:t>
      </w:r>
      <w:r w:rsidRPr="001B7AE9">
        <w:rPr>
          <w:rFonts w:ascii="Garamond" w:hAnsi="Garamond"/>
          <w:sz w:val="28"/>
          <w:szCs w:val="28"/>
        </w:rPr>
        <w:lastRenderedPageBreak/>
        <w:t>de prestación de alimentos, así como cualquier disposición que se considere oportuna a fin de apartarles de un peligro o de evitarles perjuicios.</w:t>
      </w:r>
    </w:p>
    <w:p w14:paraId="54FBB4B3" w14:textId="77777777" w:rsidR="003C442D" w:rsidRPr="001B7AE9" w:rsidRDefault="003C442D" w:rsidP="003C442D">
      <w:pPr>
        <w:spacing w:line="276" w:lineRule="auto"/>
        <w:jc w:val="both"/>
        <w:rPr>
          <w:rFonts w:ascii="Garamond" w:hAnsi="Garamond"/>
          <w:sz w:val="28"/>
          <w:szCs w:val="28"/>
        </w:rPr>
      </w:pPr>
      <w:r>
        <w:rPr>
          <w:rFonts w:ascii="Garamond" w:hAnsi="Garamond"/>
          <w:sz w:val="28"/>
          <w:szCs w:val="28"/>
        </w:rPr>
        <w:tab/>
      </w:r>
      <w:r w:rsidRPr="003361FF">
        <w:rPr>
          <w:rFonts w:ascii="Garamond" w:hAnsi="Garamond"/>
          <w:sz w:val="28"/>
          <w:szCs w:val="28"/>
        </w:rPr>
        <w:t>Cuando se dicte una orden de protección con medidas de contenido penal y existieran indicios fundados de que los hijos e hijas menores de edad hubieran presenciado, sufrido o convivido con la violencia a la que se refiere el apartado 1 de este artículo, la autoridad judicial, de oficio o a instancia de parte, suspenderá el régimen de visitas, estancia, relación o comunicación del inculpado respecto de los menores que dependan de él. No obstante, a instancia de parte, la autoridad judicial podrá no acordar la suspensión mediante resolución motivada en el interés superior del menor y previa evaluación de la situación de la relación paternofilial</w:t>
      </w:r>
      <w:r>
        <w:rPr>
          <w:rFonts w:ascii="Garamond" w:hAnsi="Garamond"/>
          <w:sz w:val="28"/>
          <w:szCs w:val="28"/>
        </w:rPr>
        <w:t xml:space="preserve"> (párrafo añadido por la Ley Orgánica 8/2021)</w:t>
      </w:r>
      <w:r w:rsidRPr="003361FF">
        <w:rPr>
          <w:rFonts w:ascii="Garamond" w:hAnsi="Garamond"/>
          <w:sz w:val="28"/>
          <w:szCs w:val="28"/>
        </w:rPr>
        <w:t>.</w:t>
      </w:r>
    </w:p>
    <w:p w14:paraId="575022D9" w14:textId="77777777" w:rsidR="003C442D" w:rsidRPr="001B7AE9" w:rsidRDefault="003C442D" w:rsidP="003C442D">
      <w:pPr>
        <w:tabs>
          <w:tab w:val="left" w:pos="-720"/>
        </w:tabs>
        <w:spacing w:line="276" w:lineRule="auto"/>
        <w:jc w:val="both"/>
        <w:rPr>
          <w:rFonts w:ascii="Garamond" w:hAnsi="Garamond"/>
          <w:sz w:val="28"/>
          <w:szCs w:val="28"/>
        </w:rPr>
      </w:pPr>
      <w:r w:rsidRPr="001B7AE9">
        <w:rPr>
          <w:rFonts w:ascii="Garamond" w:hAnsi="Garamond"/>
          <w:sz w:val="28"/>
          <w:szCs w:val="28"/>
        </w:rPr>
        <w:tab/>
        <w:t xml:space="preserve">Las medidas de carácter civil contenidas en la orden de protección tendrán una vigencia temporal de 30 días. Si dentro de este plazo fuese incoado a instancia de la víctima o de su representante legal un proceso de familia ante la jurisdicción civil, las medidas adoptadas permanecerán en vigor durante los treinta días siguientes a la presentación de la demanda. En este término las medidas deberán ser ratificadas, modificadas o dejadas sin efecto por el Juez de </w:t>
      </w:r>
      <w:r>
        <w:rPr>
          <w:rFonts w:ascii="Garamond" w:hAnsi="Garamond"/>
          <w:sz w:val="28"/>
          <w:szCs w:val="28"/>
        </w:rPr>
        <w:t>p</w:t>
      </w:r>
      <w:r w:rsidRPr="001B7AE9">
        <w:rPr>
          <w:rFonts w:ascii="Garamond" w:hAnsi="Garamond"/>
          <w:sz w:val="28"/>
          <w:szCs w:val="28"/>
        </w:rPr>
        <w:t>rimera instancia que resulte competente.</w:t>
      </w:r>
    </w:p>
    <w:p w14:paraId="3855C748" w14:textId="77777777" w:rsidR="007117A3" w:rsidRDefault="007117A3" w:rsidP="00CE2F00">
      <w:pPr>
        <w:ind w:firstLine="708"/>
        <w:jc w:val="both"/>
        <w:rPr>
          <w:rFonts w:ascii="Bookman Old Style" w:hAnsi="Bookman Old Style"/>
          <w:b/>
          <w:szCs w:val="26"/>
        </w:rPr>
      </w:pPr>
    </w:p>
    <w:p w14:paraId="4DCAF6F0" w14:textId="77777777" w:rsidR="007117A3" w:rsidRDefault="007117A3" w:rsidP="00CE2F00">
      <w:pPr>
        <w:ind w:firstLine="708"/>
        <w:jc w:val="both"/>
        <w:rPr>
          <w:rFonts w:ascii="Bookman Old Style" w:hAnsi="Bookman Old Style"/>
          <w:b/>
          <w:szCs w:val="26"/>
        </w:rPr>
      </w:pPr>
    </w:p>
    <w:p w14:paraId="7E703099" w14:textId="77777777" w:rsidR="00C55321" w:rsidRDefault="00250E80" w:rsidP="00CE2F00">
      <w:pPr>
        <w:ind w:firstLine="708"/>
        <w:jc w:val="both"/>
        <w:rPr>
          <w:rFonts w:ascii="Bookman Old Style" w:hAnsi="Bookman Old Style"/>
          <w:szCs w:val="26"/>
        </w:rPr>
      </w:pPr>
      <w:r>
        <w:rPr>
          <w:rFonts w:ascii="Bookman Old Style" w:hAnsi="Bookman Old Style"/>
          <w:b/>
          <w:szCs w:val="26"/>
        </w:rPr>
        <w:t xml:space="preserve">Tema </w:t>
      </w:r>
      <w:r w:rsidR="00C55321" w:rsidRPr="00C622C3">
        <w:rPr>
          <w:rFonts w:ascii="Bookman Old Style" w:hAnsi="Bookman Old Style"/>
          <w:b/>
          <w:szCs w:val="26"/>
        </w:rPr>
        <w:t>XV</w:t>
      </w:r>
      <w:r>
        <w:rPr>
          <w:rFonts w:ascii="Bookman Old Style" w:hAnsi="Bookman Old Style"/>
          <w:b/>
          <w:szCs w:val="26"/>
        </w:rPr>
        <w:t>II</w:t>
      </w:r>
      <w:r w:rsidR="00C55321" w:rsidRPr="00C622C3">
        <w:rPr>
          <w:rFonts w:ascii="Bookman Old Style" w:hAnsi="Bookman Old Style"/>
          <w:b/>
          <w:szCs w:val="26"/>
        </w:rPr>
        <w:t>I</w:t>
      </w:r>
      <w:r w:rsidR="00C55321">
        <w:rPr>
          <w:rFonts w:ascii="Bookman Old Style" w:hAnsi="Bookman Old Style"/>
          <w:szCs w:val="26"/>
        </w:rPr>
        <w:t xml:space="preserve">. Pág. </w:t>
      </w:r>
      <w:r>
        <w:rPr>
          <w:rFonts w:ascii="Bookman Old Style" w:hAnsi="Bookman Old Style"/>
          <w:szCs w:val="26"/>
        </w:rPr>
        <w:t>293</w:t>
      </w:r>
      <w:r w:rsidR="00C55321">
        <w:rPr>
          <w:rFonts w:ascii="Bookman Old Style" w:hAnsi="Bookman Old Style"/>
          <w:szCs w:val="26"/>
        </w:rPr>
        <w:t xml:space="preserve">. El </w:t>
      </w:r>
      <w:r>
        <w:rPr>
          <w:rFonts w:ascii="Bookman Old Style" w:hAnsi="Bookman Old Style"/>
          <w:szCs w:val="26"/>
        </w:rPr>
        <w:t xml:space="preserve">apartado a) (Desde un punto de vista subjetivo…) </w:t>
      </w:r>
      <w:r w:rsidR="00C55321">
        <w:rPr>
          <w:rFonts w:ascii="Bookman Old Style" w:hAnsi="Bookman Old Style"/>
          <w:szCs w:val="26"/>
        </w:rPr>
        <w:t>queda redactado de la menar siguiente:</w:t>
      </w:r>
    </w:p>
    <w:p w14:paraId="31054E80" w14:textId="77777777" w:rsidR="00250E80" w:rsidRDefault="00250E80" w:rsidP="00CE2F00">
      <w:pPr>
        <w:ind w:firstLine="708"/>
        <w:jc w:val="both"/>
        <w:rPr>
          <w:rFonts w:ascii="Bookman Old Style" w:hAnsi="Bookman Old Style"/>
          <w:szCs w:val="26"/>
        </w:rPr>
      </w:pPr>
    </w:p>
    <w:p w14:paraId="33A15426" w14:textId="77777777" w:rsidR="00250E80" w:rsidRDefault="00250E80" w:rsidP="00250E80">
      <w:pPr>
        <w:spacing w:line="276" w:lineRule="auto"/>
        <w:jc w:val="both"/>
        <w:rPr>
          <w:rFonts w:ascii="Garamond" w:hAnsi="Garamond"/>
          <w:sz w:val="28"/>
          <w:szCs w:val="28"/>
        </w:rPr>
      </w:pPr>
      <w:r>
        <w:rPr>
          <w:rFonts w:ascii="Garamond" w:hAnsi="Garamond"/>
          <w:sz w:val="28"/>
          <w:szCs w:val="28"/>
        </w:rPr>
        <w:tab/>
      </w:r>
      <w:r w:rsidRPr="00E86728">
        <w:rPr>
          <w:rFonts w:ascii="Garamond" w:hAnsi="Garamond"/>
          <w:sz w:val="28"/>
          <w:szCs w:val="28"/>
        </w:rPr>
        <w:t>a) Desde un punto de vista subjetivo, cierra la entrada al proceso de nuevas partes acusadoras</w:t>
      </w:r>
      <w:r>
        <w:rPr>
          <w:rFonts w:ascii="Garamond" w:hAnsi="Garamond"/>
          <w:sz w:val="28"/>
          <w:szCs w:val="28"/>
        </w:rPr>
        <w:t>, excepción hecha de las víctimas de violencia de género, que pueden personarse en cualquier momento de la causa</w:t>
      </w:r>
      <w:r w:rsidRPr="00E86728">
        <w:rPr>
          <w:rFonts w:ascii="Garamond" w:hAnsi="Garamond"/>
          <w:sz w:val="28"/>
          <w:szCs w:val="28"/>
        </w:rPr>
        <w:t xml:space="preserve">. </w:t>
      </w:r>
      <w:r>
        <w:rPr>
          <w:rFonts w:ascii="Garamond" w:hAnsi="Garamond"/>
          <w:sz w:val="28"/>
          <w:szCs w:val="28"/>
        </w:rPr>
        <w:t xml:space="preserve">La reforma de los artículos 109 bis y 110 LECrim, llevada a cabo por la Ley Orgánica 8/2021, de protección integral a la infancia y la adolescencia frente a la violencia, permite, tanto a la víctima como al perjudicado </w:t>
      </w:r>
      <w:r w:rsidRPr="005D7170">
        <w:rPr>
          <w:rFonts w:ascii="Garamond" w:hAnsi="Garamond"/>
          <w:sz w:val="28"/>
          <w:szCs w:val="28"/>
        </w:rPr>
        <w:t>persona</w:t>
      </w:r>
      <w:r>
        <w:rPr>
          <w:rFonts w:ascii="Garamond" w:hAnsi="Garamond"/>
          <w:sz w:val="28"/>
          <w:szCs w:val="28"/>
        </w:rPr>
        <w:t>r</w:t>
      </w:r>
      <w:r w:rsidRPr="005D7170">
        <w:rPr>
          <w:rFonts w:ascii="Garamond" w:hAnsi="Garamond"/>
          <w:sz w:val="28"/>
          <w:szCs w:val="28"/>
        </w:rPr>
        <w:t xml:space="preserve">se </w:t>
      </w:r>
      <w:r>
        <w:rPr>
          <w:rFonts w:ascii="Garamond" w:hAnsi="Garamond"/>
          <w:sz w:val="28"/>
          <w:szCs w:val="28"/>
        </w:rPr>
        <w:t>después d</w:t>
      </w:r>
      <w:r w:rsidRPr="005D7170">
        <w:rPr>
          <w:rFonts w:ascii="Garamond" w:hAnsi="Garamond"/>
          <w:sz w:val="28"/>
          <w:szCs w:val="28"/>
        </w:rPr>
        <w:t>el término para formular escrito de acusación</w:t>
      </w:r>
      <w:r>
        <w:rPr>
          <w:rFonts w:ascii="Garamond" w:hAnsi="Garamond"/>
          <w:sz w:val="28"/>
          <w:szCs w:val="28"/>
        </w:rPr>
        <w:t xml:space="preserve"> y </w:t>
      </w:r>
      <w:r w:rsidRPr="005D7170">
        <w:rPr>
          <w:rFonts w:ascii="Garamond" w:hAnsi="Garamond"/>
          <w:sz w:val="28"/>
          <w:szCs w:val="28"/>
        </w:rPr>
        <w:t>hasta el inicio del juicio oral</w:t>
      </w:r>
      <w:r>
        <w:rPr>
          <w:rFonts w:ascii="Garamond" w:hAnsi="Garamond"/>
          <w:sz w:val="28"/>
          <w:szCs w:val="28"/>
        </w:rPr>
        <w:t xml:space="preserve">, </w:t>
      </w:r>
      <w:r w:rsidRPr="005D7170">
        <w:rPr>
          <w:rFonts w:ascii="Garamond" w:hAnsi="Garamond"/>
          <w:sz w:val="28"/>
          <w:szCs w:val="28"/>
        </w:rPr>
        <w:t xml:space="preserve"> adhiriéndose al escrito de acusación formulado por el Ministerio Fiscal o del resto de las acusaciones personadas.</w:t>
      </w:r>
    </w:p>
    <w:p w14:paraId="4F2612DD" w14:textId="77777777" w:rsidR="00E762EE" w:rsidRDefault="00E762EE" w:rsidP="00250E80">
      <w:pPr>
        <w:spacing w:line="276" w:lineRule="auto"/>
        <w:jc w:val="both"/>
        <w:rPr>
          <w:rFonts w:ascii="Garamond" w:hAnsi="Garamond"/>
          <w:sz w:val="28"/>
          <w:szCs w:val="28"/>
        </w:rPr>
      </w:pPr>
    </w:p>
    <w:p w14:paraId="02AE990E" w14:textId="77777777" w:rsidR="00E762EE" w:rsidRDefault="00E762EE" w:rsidP="00E762EE">
      <w:pPr>
        <w:ind w:firstLine="708"/>
        <w:jc w:val="both"/>
        <w:rPr>
          <w:rFonts w:ascii="Bookman Old Style" w:hAnsi="Bookman Old Style"/>
          <w:szCs w:val="26"/>
        </w:rPr>
      </w:pPr>
      <w:r>
        <w:rPr>
          <w:rFonts w:ascii="Bookman Old Style" w:hAnsi="Bookman Old Style"/>
          <w:b/>
          <w:szCs w:val="26"/>
        </w:rPr>
        <w:t xml:space="preserve">Tema </w:t>
      </w:r>
      <w:r w:rsidRPr="00C622C3">
        <w:rPr>
          <w:rFonts w:ascii="Bookman Old Style" w:hAnsi="Bookman Old Style"/>
          <w:b/>
          <w:szCs w:val="26"/>
        </w:rPr>
        <w:t>X</w:t>
      </w:r>
      <w:r>
        <w:rPr>
          <w:rFonts w:ascii="Bookman Old Style" w:hAnsi="Bookman Old Style"/>
          <w:b/>
          <w:szCs w:val="26"/>
        </w:rPr>
        <w:t>X</w:t>
      </w:r>
      <w:r>
        <w:rPr>
          <w:rFonts w:ascii="Bookman Old Style" w:hAnsi="Bookman Old Style"/>
          <w:szCs w:val="26"/>
        </w:rPr>
        <w:t>. Pág. 314. El párrafo segundo (A efectos de su valoración…) queda redactado de la menar siguiente:</w:t>
      </w:r>
    </w:p>
    <w:p w14:paraId="7F326FB8" w14:textId="77777777" w:rsidR="00E762EE" w:rsidRDefault="00E762EE" w:rsidP="00E762EE">
      <w:pPr>
        <w:ind w:firstLine="708"/>
        <w:jc w:val="both"/>
        <w:rPr>
          <w:rFonts w:ascii="Bookman Old Style" w:hAnsi="Bookman Old Style"/>
          <w:szCs w:val="26"/>
        </w:rPr>
      </w:pPr>
    </w:p>
    <w:p w14:paraId="4CF4EA8B" w14:textId="77777777" w:rsidR="00E762EE" w:rsidRPr="00E762EE" w:rsidRDefault="00E762EE" w:rsidP="00E762EE">
      <w:pPr>
        <w:spacing w:line="276" w:lineRule="auto"/>
        <w:ind w:right="-2"/>
        <w:jc w:val="both"/>
        <w:rPr>
          <w:rFonts w:ascii="Garamond" w:hAnsi="Garamond"/>
          <w:sz w:val="28"/>
          <w:szCs w:val="28"/>
        </w:rPr>
      </w:pPr>
      <w:r>
        <w:rPr>
          <w:rFonts w:ascii="Garamond" w:hAnsi="Garamond"/>
          <w:szCs w:val="28"/>
        </w:rPr>
        <w:tab/>
      </w:r>
      <w:r w:rsidRPr="00E762EE">
        <w:rPr>
          <w:rFonts w:ascii="Garamond" w:hAnsi="Garamond"/>
          <w:sz w:val="28"/>
          <w:szCs w:val="28"/>
        </w:rPr>
        <w:t xml:space="preserve">A efectos de su valoración como prueba en sentencia, la parte a quien interese deberá instar en el juicio oral la reproducción de la grabación o la lectura literal de la diligencia, en los términos del artículo 730 LECrim, lo que ahora </w:t>
      </w:r>
      <w:r w:rsidRPr="00E762EE">
        <w:rPr>
          <w:rFonts w:ascii="Garamond" w:hAnsi="Garamond"/>
          <w:sz w:val="28"/>
          <w:szCs w:val="28"/>
        </w:rPr>
        <w:lastRenderedPageBreak/>
        <w:t>dispone expresamente el inciso final del citado precepto (redactado por la LO 8/2021 de protección integral a la infancia y la adolescencia frente a la violencia): “</w:t>
      </w:r>
      <w:r w:rsidRPr="00E762EE">
        <w:rPr>
          <w:rFonts w:ascii="Garamond" w:hAnsi="Garamond"/>
          <w:i/>
          <w:sz w:val="28"/>
          <w:szCs w:val="28"/>
        </w:rPr>
        <w:t>a instancia de cualquiera de las partes, se podrá reproducir la grabación audiovisual de la declaración de la víctima o testigo practicada como prueba preconstituida durante la fase de instrucción conforme a lo dispuesto en el artículo 449</w:t>
      </w:r>
      <w:r w:rsidRPr="00E762EE">
        <w:rPr>
          <w:rFonts w:ascii="Garamond" w:hAnsi="Garamond"/>
          <w:sz w:val="28"/>
          <w:szCs w:val="28"/>
        </w:rPr>
        <w:t>”.</w:t>
      </w:r>
    </w:p>
    <w:p w14:paraId="6AD6BB46" w14:textId="77777777" w:rsidR="00E762EE" w:rsidRPr="00E86728" w:rsidRDefault="00E762EE" w:rsidP="00250E80">
      <w:pPr>
        <w:spacing w:line="276" w:lineRule="auto"/>
        <w:jc w:val="both"/>
        <w:rPr>
          <w:rFonts w:ascii="Garamond" w:hAnsi="Garamond"/>
          <w:sz w:val="28"/>
          <w:szCs w:val="28"/>
        </w:rPr>
      </w:pPr>
    </w:p>
    <w:p w14:paraId="4ADB5208" w14:textId="77777777" w:rsidR="00C55321" w:rsidRDefault="00C55321" w:rsidP="00CE2F00">
      <w:pPr>
        <w:ind w:firstLine="708"/>
        <w:jc w:val="both"/>
        <w:rPr>
          <w:rFonts w:ascii="Bookman Old Style" w:hAnsi="Bookman Old Style"/>
          <w:szCs w:val="26"/>
        </w:rPr>
      </w:pPr>
    </w:p>
    <w:p w14:paraId="5AE6E26F" w14:textId="77777777" w:rsidR="00E762EE" w:rsidRDefault="00C55321" w:rsidP="00CE2F00">
      <w:pPr>
        <w:ind w:firstLine="708"/>
        <w:jc w:val="both"/>
        <w:rPr>
          <w:rFonts w:ascii="Bookman Old Style" w:hAnsi="Bookman Old Style"/>
          <w:szCs w:val="26"/>
        </w:rPr>
      </w:pPr>
      <w:r w:rsidRPr="00C622C3">
        <w:rPr>
          <w:rFonts w:ascii="Bookman Old Style" w:hAnsi="Bookman Old Style"/>
          <w:b/>
          <w:szCs w:val="26"/>
        </w:rPr>
        <w:t>Tema XXI</w:t>
      </w:r>
      <w:r>
        <w:rPr>
          <w:rFonts w:ascii="Bookman Old Style" w:hAnsi="Bookman Old Style"/>
          <w:szCs w:val="26"/>
        </w:rPr>
        <w:t xml:space="preserve">. Pág. </w:t>
      </w:r>
      <w:r w:rsidR="00E762EE">
        <w:rPr>
          <w:rFonts w:ascii="Bookman Old Style" w:hAnsi="Bookman Old Style"/>
          <w:szCs w:val="26"/>
        </w:rPr>
        <w:t>326</w:t>
      </w:r>
      <w:r>
        <w:rPr>
          <w:rFonts w:ascii="Bookman Old Style" w:hAnsi="Bookman Old Style"/>
          <w:szCs w:val="26"/>
        </w:rPr>
        <w:t xml:space="preserve">. </w:t>
      </w:r>
      <w:r w:rsidR="00E762EE">
        <w:rPr>
          <w:rFonts w:ascii="Bookman Old Style" w:hAnsi="Bookman Old Style"/>
          <w:szCs w:val="26"/>
        </w:rPr>
        <w:t>El párrafo primero (En tercer lugar…)queda redactado de la siguiente forma:</w:t>
      </w:r>
    </w:p>
    <w:p w14:paraId="66899AE2" w14:textId="77777777" w:rsidR="00E762EE" w:rsidRDefault="00E762EE" w:rsidP="00CE2F00">
      <w:pPr>
        <w:ind w:firstLine="708"/>
        <w:jc w:val="both"/>
        <w:rPr>
          <w:rFonts w:ascii="Bookman Old Style" w:hAnsi="Bookman Old Style"/>
          <w:szCs w:val="26"/>
        </w:rPr>
      </w:pPr>
    </w:p>
    <w:p w14:paraId="4807B2C8" w14:textId="77777777" w:rsidR="00E762EE" w:rsidRDefault="00E762EE" w:rsidP="00E762EE">
      <w:pPr>
        <w:spacing w:line="276" w:lineRule="auto"/>
        <w:ind w:firstLine="708"/>
        <w:jc w:val="both"/>
        <w:rPr>
          <w:rFonts w:ascii="Garamond" w:hAnsi="Garamond"/>
          <w:sz w:val="28"/>
          <w:szCs w:val="28"/>
        </w:rPr>
      </w:pPr>
      <w:r>
        <w:rPr>
          <w:rFonts w:ascii="Bookman Old Style" w:hAnsi="Bookman Old Style"/>
          <w:szCs w:val="26"/>
        </w:rPr>
        <w:t xml:space="preserve">En tercer lugar el supuesto que contempla el </w:t>
      </w:r>
      <w:r w:rsidRPr="003F4797">
        <w:rPr>
          <w:rFonts w:ascii="Garamond" w:hAnsi="Garamond"/>
          <w:sz w:val="28"/>
          <w:szCs w:val="28"/>
        </w:rPr>
        <w:t xml:space="preserve">artículo 730 LECrim, </w:t>
      </w:r>
      <w:r>
        <w:rPr>
          <w:rFonts w:ascii="Garamond" w:hAnsi="Garamond"/>
          <w:sz w:val="28"/>
          <w:szCs w:val="28"/>
        </w:rPr>
        <w:t xml:space="preserve">según el cual </w:t>
      </w:r>
      <w:r w:rsidRPr="003F4797">
        <w:rPr>
          <w:rFonts w:ascii="Garamond" w:hAnsi="Garamond"/>
          <w:sz w:val="28"/>
          <w:szCs w:val="28"/>
        </w:rPr>
        <w:t>“</w:t>
      </w:r>
      <w:r w:rsidRPr="00267E93">
        <w:rPr>
          <w:rFonts w:ascii="Garamond" w:hAnsi="Garamond"/>
          <w:i/>
          <w:sz w:val="28"/>
          <w:szCs w:val="28"/>
        </w:rPr>
        <w:t>podrán también leerse a instancia de cualquiera de las partes las diligencias practicadas en el sumario, que, por causas independientes de la voluntad de aquéllas, no puedan ser reproducidas en el juicio oral, y las declaraciones recibidas de conformidad con lo dispuesto en el artículo 448 durante la fase de investigación a las víctimas menores de edad y a las víctimas con discapacidad necesitadas de especial protección</w:t>
      </w:r>
      <w:r w:rsidRPr="003F4797">
        <w:rPr>
          <w:rFonts w:ascii="Garamond" w:hAnsi="Garamond"/>
          <w:sz w:val="28"/>
          <w:szCs w:val="28"/>
        </w:rPr>
        <w:t>”</w:t>
      </w:r>
      <w:r>
        <w:rPr>
          <w:rFonts w:ascii="Garamond" w:hAnsi="Garamond"/>
          <w:sz w:val="28"/>
          <w:szCs w:val="28"/>
        </w:rPr>
        <w:t>. Un apartado segundo de este precepto, añadido por la Ley Orgánica 8/2021, de protección integral a la infancia y la adolescencia frente a la violencia, dispone que “</w:t>
      </w:r>
      <w:r w:rsidRPr="00267E93">
        <w:rPr>
          <w:rFonts w:ascii="Garamond" w:hAnsi="Garamond"/>
          <w:i/>
          <w:sz w:val="28"/>
          <w:szCs w:val="28"/>
        </w:rPr>
        <w:t>a instancia de cualquiera de las partes, se podrá reproducir la grabación audiovisual de la declaración de la víctima o testigo practicada como prueba preconstituida durante la fase de instrucción conforme a lo dispuesto en el artículo 449 bis</w:t>
      </w:r>
      <w:r>
        <w:rPr>
          <w:rFonts w:ascii="Garamond" w:hAnsi="Garamond"/>
          <w:sz w:val="28"/>
          <w:szCs w:val="28"/>
        </w:rPr>
        <w:t>”</w:t>
      </w:r>
      <w:r w:rsidRPr="00267E93">
        <w:rPr>
          <w:rFonts w:ascii="Garamond" w:hAnsi="Garamond"/>
          <w:sz w:val="28"/>
          <w:szCs w:val="28"/>
        </w:rPr>
        <w:t>.</w:t>
      </w:r>
    </w:p>
    <w:p w14:paraId="6A6284F6" w14:textId="77777777" w:rsidR="00E762EE" w:rsidRDefault="00E762EE" w:rsidP="00E762EE">
      <w:pPr>
        <w:spacing w:line="276" w:lineRule="auto"/>
        <w:ind w:firstLine="708"/>
        <w:jc w:val="both"/>
        <w:rPr>
          <w:rFonts w:ascii="Garamond" w:hAnsi="Garamond"/>
          <w:sz w:val="28"/>
          <w:szCs w:val="28"/>
        </w:rPr>
      </w:pPr>
    </w:p>
    <w:p w14:paraId="6093B731" w14:textId="77777777" w:rsidR="00CB04F9" w:rsidRDefault="00CB04F9" w:rsidP="00CB04F9">
      <w:pPr>
        <w:ind w:firstLine="708"/>
        <w:jc w:val="both"/>
        <w:rPr>
          <w:rFonts w:ascii="Bookman Old Style" w:hAnsi="Bookman Old Style"/>
          <w:szCs w:val="26"/>
        </w:rPr>
      </w:pPr>
      <w:r w:rsidRPr="00C622C3">
        <w:rPr>
          <w:rFonts w:ascii="Bookman Old Style" w:hAnsi="Bookman Old Style"/>
          <w:b/>
          <w:szCs w:val="26"/>
        </w:rPr>
        <w:t>Tema XXI</w:t>
      </w:r>
      <w:r>
        <w:rPr>
          <w:rFonts w:ascii="Bookman Old Style" w:hAnsi="Bookman Old Style"/>
          <w:szCs w:val="26"/>
        </w:rPr>
        <w:t>. Pág. 328. El epígrafe “la prueba preconstituida” queda redactado de la siguiente forma:</w:t>
      </w:r>
    </w:p>
    <w:p w14:paraId="1DE7CD3C" w14:textId="77777777" w:rsidR="00E762EE" w:rsidRDefault="00E762EE" w:rsidP="00E762EE">
      <w:pPr>
        <w:spacing w:line="276" w:lineRule="auto"/>
        <w:ind w:firstLine="708"/>
        <w:jc w:val="both"/>
        <w:rPr>
          <w:rFonts w:ascii="Garamond" w:hAnsi="Garamond"/>
          <w:sz w:val="28"/>
          <w:szCs w:val="28"/>
        </w:rPr>
      </w:pPr>
    </w:p>
    <w:p w14:paraId="60B948FE" w14:textId="77777777" w:rsidR="00CB04F9" w:rsidRPr="003F4797" w:rsidRDefault="00CB04F9" w:rsidP="00CB04F9">
      <w:pPr>
        <w:spacing w:line="276" w:lineRule="auto"/>
        <w:jc w:val="both"/>
        <w:rPr>
          <w:rFonts w:ascii="Garamond" w:hAnsi="Garamond"/>
          <w:sz w:val="28"/>
          <w:szCs w:val="28"/>
        </w:rPr>
      </w:pPr>
      <w:r w:rsidRPr="003F4797">
        <w:rPr>
          <w:rFonts w:ascii="Garamond" w:hAnsi="Garamond"/>
          <w:sz w:val="28"/>
          <w:szCs w:val="28"/>
        </w:rPr>
        <w:t>II. LA PRUEBA PRECONSTITUIDA</w:t>
      </w:r>
    </w:p>
    <w:p w14:paraId="3F321C14" w14:textId="77777777" w:rsidR="00CB04F9" w:rsidRPr="003F4797" w:rsidRDefault="00CB04F9" w:rsidP="00CB04F9">
      <w:pPr>
        <w:spacing w:line="276" w:lineRule="auto"/>
        <w:jc w:val="both"/>
        <w:rPr>
          <w:rFonts w:ascii="Garamond" w:hAnsi="Garamond"/>
          <w:b/>
          <w:sz w:val="28"/>
          <w:szCs w:val="28"/>
        </w:rPr>
      </w:pPr>
    </w:p>
    <w:p w14:paraId="006C0303" w14:textId="77777777" w:rsidR="00CB04F9" w:rsidRDefault="00CB04F9" w:rsidP="00CB04F9">
      <w:pPr>
        <w:spacing w:line="276" w:lineRule="auto"/>
        <w:jc w:val="both"/>
        <w:rPr>
          <w:rFonts w:ascii="Garamond" w:hAnsi="Garamond"/>
          <w:sz w:val="28"/>
          <w:szCs w:val="28"/>
        </w:rPr>
      </w:pPr>
      <w:r w:rsidRPr="003F4797">
        <w:rPr>
          <w:rFonts w:ascii="Garamond" w:hAnsi="Garamond"/>
          <w:b/>
          <w:sz w:val="28"/>
          <w:szCs w:val="28"/>
        </w:rPr>
        <w:tab/>
      </w:r>
      <w:r w:rsidRPr="003F4797">
        <w:rPr>
          <w:rFonts w:ascii="Garamond" w:hAnsi="Garamond"/>
          <w:sz w:val="28"/>
          <w:szCs w:val="28"/>
        </w:rPr>
        <w:t xml:space="preserve">Mientras que la prueba anticipada, tal como está prevista en el artículo 657.3 LECrim, se practica dentro la fase de juicio oral, aunque antes de la apertura de las sesiones, y en presencia del propio Tribunal sentenciador, la preconstituida se integra de actos realizados en la fase de instrucción a los que por ser imposible su reproducción en el acto del juicio </w:t>
      </w:r>
      <w:r>
        <w:rPr>
          <w:rFonts w:ascii="Garamond" w:hAnsi="Garamond"/>
          <w:sz w:val="28"/>
          <w:szCs w:val="28"/>
        </w:rPr>
        <w:t xml:space="preserve">o por disposición de la ley, </w:t>
      </w:r>
      <w:r w:rsidRPr="003F4797">
        <w:rPr>
          <w:rFonts w:ascii="Garamond" w:hAnsi="Garamond"/>
          <w:sz w:val="28"/>
          <w:szCs w:val="28"/>
        </w:rPr>
        <w:t>se les atribuye eficacia probatoria si se cumplen determinadas garantías</w:t>
      </w:r>
      <w:r>
        <w:rPr>
          <w:rFonts w:ascii="Garamond" w:hAnsi="Garamond"/>
          <w:sz w:val="28"/>
          <w:szCs w:val="28"/>
        </w:rPr>
        <w:t>, como es el caso d</w:t>
      </w:r>
      <w:r w:rsidRPr="00C72A33">
        <w:rPr>
          <w:rFonts w:ascii="Garamond" w:hAnsi="Garamond"/>
          <w:sz w:val="28"/>
          <w:szCs w:val="20"/>
        </w:rPr>
        <w:t>el acta en que se documenta bajo la fe del Letrado de la Administración de Justicia el resultado de una diligencia de entrada y registro en un domicilio</w:t>
      </w:r>
      <w:r>
        <w:rPr>
          <w:rFonts w:ascii="Garamond" w:hAnsi="Garamond"/>
          <w:sz w:val="28"/>
          <w:szCs w:val="20"/>
        </w:rPr>
        <w:t>.</w:t>
      </w:r>
    </w:p>
    <w:p w14:paraId="4ABC321A" w14:textId="77777777" w:rsidR="00CB04F9" w:rsidRDefault="00CB04F9" w:rsidP="00CB04F9">
      <w:pPr>
        <w:spacing w:line="276" w:lineRule="auto"/>
        <w:jc w:val="both"/>
        <w:rPr>
          <w:rFonts w:ascii="Garamond" w:hAnsi="Garamond"/>
          <w:sz w:val="28"/>
          <w:szCs w:val="28"/>
        </w:rPr>
      </w:pPr>
    </w:p>
    <w:p w14:paraId="30DAE923" w14:textId="77777777" w:rsidR="00CB04F9" w:rsidRPr="00631BA6" w:rsidRDefault="00CB04F9" w:rsidP="00CB04F9">
      <w:pPr>
        <w:ind w:left="284" w:right="281" w:firstLine="708"/>
        <w:jc w:val="both"/>
        <w:rPr>
          <w:rFonts w:ascii="Garamond" w:hAnsi="Garamond"/>
          <w:szCs w:val="20"/>
        </w:rPr>
      </w:pPr>
      <w:r w:rsidRPr="00631BA6">
        <w:rPr>
          <w:rFonts w:ascii="Garamond" w:hAnsi="Garamond"/>
          <w:szCs w:val="20"/>
        </w:rPr>
        <w:t>Otros supuestos característicos de prueba preconstituida son:</w:t>
      </w:r>
    </w:p>
    <w:p w14:paraId="592EB2EA" w14:textId="77777777" w:rsidR="00CB04F9" w:rsidRPr="00631BA6" w:rsidRDefault="00CB04F9" w:rsidP="00CB04F9">
      <w:pPr>
        <w:ind w:left="284" w:right="281" w:firstLine="708"/>
        <w:jc w:val="both"/>
        <w:rPr>
          <w:rFonts w:ascii="Garamond" w:hAnsi="Garamond"/>
          <w:szCs w:val="20"/>
        </w:rPr>
      </w:pPr>
      <w:r w:rsidRPr="00631BA6">
        <w:rPr>
          <w:rFonts w:ascii="Garamond" w:hAnsi="Garamond"/>
          <w:szCs w:val="20"/>
        </w:rPr>
        <w:t xml:space="preserve">-la grabación que contiene el resultado de la conversación telefónica intervenida; la diligencia autorizada por el Letrado de la Administración de Justicia en </w:t>
      </w:r>
      <w:r w:rsidRPr="00631BA6">
        <w:rPr>
          <w:rFonts w:ascii="Garamond" w:hAnsi="Garamond"/>
          <w:szCs w:val="20"/>
        </w:rPr>
        <w:lastRenderedPageBreak/>
        <w:t xml:space="preserve">la que se contiene la descripción de las huellas y vestigios efectuada por el Juez instructor en la inspección ocular practicada en el lugar de los hechos; </w:t>
      </w:r>
    </w:p>
    <w:p w14:paraId="6F92949F" w14:textId="77777777" w:rsidR="00CB04F9" w:rsidRPr="00631BA6" w:rsidRDefault="00CB04F9" w:rsidP="00CB04F9">
      <w:pPr>
        <w:ind w:left="284" w:right="281" w:firstLine="708"/>
        <w:jc w:val="both"/>
        <w:rPr>
          <w:rFonts w:ascii="Garamond" w:hAnsi="Garamond"/>
          <w:szCs w:val="20"/>
        </w:rPr>
      </w:pPr>
      <w:r w:rsidRPr="00631BA6">
        <w:rPr>
          <w:rFonts w:ascii="Garamond" w:hAnsi="Garamond"/>
          <w:szCs w:val="20"/>
        </w:rPr>
        <w:t xml:space="preserve">-la práctica de la autopsia; </w:t>
      </w:r>
    </w:p>
    <w:p w14:paraId="655C7AE4" w14:textId="77777777" w:rsidR="00CB04F9" w:rsidRPr="00631BA6" w:rsidRDefault="00CB04F9" w:rsidP="00CB04F9">
      <w:pPr>
        <w:ind w:left="284" w:right="281" w:firstLine="708"/>
        <w:jc w:val="both"/>
        <w:rPr>
          <w:rFonts w:ascii="Garamond" w:hAnsi="Garamond"/>
          <w:szCs w:val="20"/>
        </w:rPr>
      </w:pPr>
      <w:r w:rsidRPr="00631BA6">
        <w:rPr>
          <w:rFonts w:ascii="Garamond" w:hAnsi="Garamond"/>
          <w:szCs w:val="20"/>
        </w:rPr>
        <w:t xml:space="preserve">-la determinación del grado de alcoholemia; </w:t>
      </w:r>
    </w:p>
    <w:p w14:paraId="27E362A8" w14:textId="77777777" w:rsidR="00CB04F9" w:rsidRDefault="00CB04F9" w:rsidP="00CB04F9">
      <w:pPr>
        <w:ind w:left="284" w:right="281" w:firstLine="708"/>
        <w:jc w:val="both"/>
        <w:rPr>
          <w:rFonts w:ascii="Garamond" w:hAnsi="Garamond"/>
          <w:sz w:val="28"/>
          <w:szCs w:val="20"/>
        </w:rPr>
      </w:pPr>
      <w:r w:rsidRPr="00631BA6">
        <w:rPr>
          <w:rFonts w:ascii="Garamond" w:hAnsi="Garamond"/>
          <w:szCs w:val="20"/>
        </w:rPr>
        <w:t xml:space="preserve">-la realización de un análisis que implica la destrucción íntegra del objeto analizado, etc. </w:t>
      </w:r>
    </w:p>
    <w:p w14:paraId="594C9B19" w14:textId="77777777" w:rsidR="00CB04F9" w:rsidRDefault="00CB04F9" w:rsidP="00CB04F9">
      <w:pPr>
        <w:ind w:right="-2" w:firstLine="708"/>
        <w:jc w:val="both"/>
        <w:rPr>
          <w:rFonts w:ascii="Garamond" w:hAnsi="Garamond"/>
          <w:sz w:val="28"/>
          <w:szCs w:val="20"/>
        </w:rPr>
      </w:pPr>
    </w:p>
    <w:p w14:paraId="6AE706A4" w14:textId="77777777" w:rsidR="00CB04F9" w:rsidRDefault="00CB04F9" w:rsidP="00CB04F9">
      <w:pPr>
        <w:ind w:left="284" w:right="281" w:firstLine="708"/>
        <w:jc w:val="both"/>
        <w:rPr>
          <w:rFonts w:ascii="Garamond" w:hAnsi="Garamond"/>
          <w:sz w:val="28"/>
          <w:szCs w:val="20"/>
        </w:rPr>
      </w:pPr>
      <w:r w:rsidRPr="004B7209">
        <w:rPr>
          <w:rFonts w:ascii="Garamond" w:hAnsi="Garamond"/>
          <w:szCs w:val="20"/>
        </w:rPr>
        <w:t>Todas ell</w:t>
      </w:r>
      <w:r>
        <w:rPr>
          <w:rFonts w:ascii="Garamond" w:hAnsi="Garamond"/>
          <w:szCs w:val="20"/>
        </w:rPr>
        <w:t>o</w:t>
      </w:r>
      <w:r w:rsidRPr="004B7209">
        <w:rPr>
          <w:rFonts w:ascii="Garamond" w:hAnsi="Garamond"/>
          <w:szCs w:val="20"/>
        </w:rPr>
        <w:t>s consisten, esencialmente, en diligencias documentadas en cualquier tipo de soporte material al tiempo de su realización, pues ya en ese momento resulta evidente que no podrán aportarse al juicio oral de otro modo.</w:t>
      </w:r>
    </w:p>
    <w:p w14:paraId="3BF6A562" w14:textId="77777777" w:rsidR="00CB04F9" w:rsidRDefault="00CB04F9" w:rsidP="00CB04F9">
      <w:pPr>
        <w:ind w:right="-2" w:firstLine="708"/>
        <w:jc w:val="both"/>
        <w:rPr>
          <w:rFonts w:ascii="Garamond" w:hAnsi="Garamond"/>
          <w:sz w:val="28"/>
          <w:szCs w:val="20"/>
        </w:rPr>
      </w:pPr>
    </w:p>
    <w:p w14:paraId="00337859" w14:textId="77777777" w:rsidR="00CB04F9" w:rsidRPr="00631BA6" w:rsidRDefault="00CB04F9" w:rsidP="00CB04F9">
      <w:pPr>
        <w:ind w:right="-2" w:firstLine="708"/>
        <w:jc w:val="both"/>
        <w:rPr>
          <w:rFonts w:ascii="Garamond" w:hAnsi="Garamond"/>
          <w:i/>
          <w:sz w:val="28"/>
          <w:szCs w:val="28"/>
        </w:rPr>
      </w:pPr>
      <w:r>
        <w:rPr>
          <w:rFonts w:ascii="Garamond" w:hAnsi="Garamond"/>
          <w:sz w:val="28"/>
          <w:szCs w:val="20"/>
        </w:rPr>
        <w:t xml:space="preserve">A los supuestos anteriores se añade el artículo 449 bis, introducido por </w:t>
      </w:r>
      <w:r>
        <w:rPr>
          <w:rFonts w:ascii="Garamond" w:hAnsi="Garamond"/>
          <w:sz w:val="28"/>
          <w:szCs w:val="28"/>
        </w:rPr>
        <w:t>la Ley Orgánica 8/2021, de protección integral a la infancia y la adolescencia frente a la violencia. Dispone este precepto que “</w:t>
      </w:r>
      <w:r w:rsidRPr="00631BA6">
        <w:rPr>
          <w:rFonts w:ascii="Garamond" w:hAnsi="Garamond"/>
          <w:i/>
          <w:sz w:val="28"/>
          <w:szCs w:val="28"/>
        </w:rPr>
        <w:t>cuando, en los casos legalmente previstos, la autoridad judicial acuerde la práctica de la declaración del testigo como prueba preconstituida, la misma deberá desarrollarse de conformidad con los requisitos establecidos en este artículo.</w:t>
      </w:r>
    </w:p>
    <w:p w14:paraId="519C9658" w14:textId="77777777" w:rsidR="00CB04F9" w:rsidRPr="00631BA6" w:rsidRDefault="00CB04F9" w:rsidP="00CB04F9">
      <w:pPr>
        <w:ind w:right="-2" w:firstLine="708"/>
        <w:jc w:val="both"/>
        <w:rPr>
          <w:rFonts w:ascii="Garamond" w:hAnsi="Garamond"/>
          <w:i/>
          <w:sz w:val="28"/>
          <w:szCs w:val="28"/>
        </w:rPr>
      </w:pPr>
      <w:r w:rsidRPr="00631BA6">
        <w:rPr>
          <w:rFonts w:ascii="Garamond" w:hAnsi="Garamond"/>
          <w:i/>
          <w:sz w:val="28"/>
          <w:szCs w:val="28"/>
        </w:rPr>
        <w:t>La autoridad judicial garantizará el principio de contradicción en la práctica de la declaración. La ausencia de la persona investigada debidamente citada no impedirá la práctica de la prueba preconstituida, si bien su defensa letrada, en todo caso, deberá estar presente. En caso de incomparecencia injustificada del defensor de la persona investigada o cuando haya razones de urgencia para proceder inmediatamente, el acto se sustanciará con el abogado de oficio expresamente designado al efecto.</w:t>
      </w:r>
    </w:p>
    <w:p w14:paraId="7F4087A8" w14:textId="77777777" w:rsidR="00CB04F9" w:rsidRPr="00631BA6" w:rsidRDefault="00CB04F9" w:rsidP="00CB04F9">
      <w:pPr>
        <w:ind w:right="-2" w:firstLine="708"/>
        <w:jc w:val="both"/>
        <w:rPr>
          <w:rFonts w:ascii="Garamond" w:hAnsi="Garamond"/>
          <w:i/>
          <w:sz w:val="28"/>
          <w:szCs w:val="28"/>
        </w:rPr>
      </w:pPr>
      <w:r w:rsidRPr="00631BA6">
        <w:rPr>
          <w:rFonts w:ascii="Garamond" w:hAnsi="Garamond"/>
          <w:i/>
          <w:sz w:val="28"/>
          <w:szCs w:val="28"/>
        </w:rPr>
        <w:t>La autoridad judicial asegurará la documentación de la declaración en soporte apto para la grabación del sonido y la imagen, debiendo el Letrado de la Administración de Justicia, de forma inmediata, comprobar la calidad de la grabación audiovisual. Se acompañará acta sucinta autorizada por el Letrado de la Administración de Justicia, que contendrá la identificación y firma de todas las personas intervinientes en la prueba preconstituida.</w:t>
      </w:r>
    </w:p>
    <w:p w14:paraId="69A13084" w14:textId="77777777" w:rsidR="00CB04F9" w:rsidRDefault="00CB04F9" w:rsidP="00CB04F9">
      <w:pPr>
        <w:ind w:right="-2" w:firstLine="708"/>
        <w:jc w:val="both"/>
        <w:rPr>
          <w:rFonts w:ascii="Garamond" w:hAnsi="Garamond"/>
          <w:sz w:val="28"/>
          <w:szCs w:val="28"/>
        </w:rPr>
      </w:pPr>
      <w:r w:rsidRPr="00631BA6">
        <w:rPr>
          <w:rFonts w:ascii="Garamond" w:hAnsi="Garamond"/>
          <w:i/>
          <w:sz w:val="28"/>
          <w:szCs w:val="28"/>
        </w:rPr>
        <w:t>Para la valoración de la prueba preconstituida obtenida conforme a lo previsto en los párrafos anteriores, se estará a lo dispuesto en el artículo 730.2</w:t>
      </w:r>
      <w:r w:rsidRPr="00C72A33">
        <w:rPr>
          <w:rFonts w:ascii="Garamond" w:hAnsi="Garamond"/>
          <w:sz w:val="28"/>
          <w:szCs w:val="28"/>
        </w:rPr>
        <w:t>.»</w:t>
      </w:r>
    </w:p>
    <w:p w14:paraId="67CF14CA" w14:textId="77777777" w:rsidR="00CB04F9" w:rsidRDefault="00CB04F9" w:rsidP="00CB04F9">
      <w:pPr>
        <w:ind w:right="-2" w:firstLine="708"/>
        <w:jc w:val="both"/>
        <w:rPr>
          <w:rFonts w:ascii="Garamond" w:hAnsi="Garamond"/>
          <w:sz w:val="28"/>
          <w:szCs w:val="28"/>
        </w:rPr>
      </w:pPr>
      <w:r>
        <w:rPr>
          <w:rFonts w:ascii="Garamond" w:hAnsi="Garamond"/>
          <w:sz w:val="28"/>
          <w:szCs w:val="28"/>
        </w:rPr>
        <w:t xml:space="preserve">A su vez, el nuevo artículo 449 ter, incorporado por la misma Ley Orgánica 8/2021, dispone que en todo caso se practicará como prueba preconstituida la declaración testifical de un menor de catorce años o persona con discapacidad necesitada de especial protección en el caso de procedimientos seguidos por delitos de homicidio y los demás que enumera. </w:t>
      </w:r>
    </w:p>
    <w:p w14:paraId="0E5D6540" w14:textId="77777777" w:rsidR="00CB04F9" w:rsidRDefault="00CB04F9" w:rsidP="00E762EE">
      <w:pPr>
        <w:spacing w:line="276" w:lineRule="auto"/>
        <w:ind w:firstLine="708"/>
        <w:jc w:val="both"/>
        <w:rPr>
          <w:rFonts w:ascii="Garamond" w:hAnsi="Garamond"/>
          <w:sz w:val="28"/>
          <w:szCs w:val="28"/>
        </w:rPr>
      </w:pPr>
    </w:p>
    <w:p w14:paraId="3001EFE3" w14:textId="77777777" w:rsidR="00CB04F9" w:rsidRDefault="00CB04F9" w:rsidP="00CB04F9">
      <w:pPr>
        <w:ind w:firstLine="708"/>
        <w:jc w:val="both"/>
        <w:rPr>
          <w:rFonts w:ascii="Bookman Old Style" w:hAnsi="Bookman Old Style"/>
          <w:szCs w:val="26"/>
        </w:rPr>
      </w:pPr>
      <w:r w:rsidRPr="00C622C3">
        <w:rPr>
          <w:rFonts w:ascii="Bookman Old Style" w:hAnsi="Bookman Old Style"/>
          <w:b/>
          <w:szCs w:val="26"/>
        </w:rPr>
        <w:t>Tema XXI</w:t>
      </w:r>
      <w:r>
        <w:rPr>
          <w:rFonts w:ascii="Bookman Old Style" w:hAnsi="Bookman Old Style"/>
          <w:szCs w:val="26"/>
        </w:rPr>
        <w:t>. Pág. 335. El párrafo primeo (Como expresa…) queda redactado de la siguiente forma:</w:t>
      </w:r>
    </w:p>
    <w:p w14:paraId="555CB4AD" w14:textId="77777777" w:rsidR="00CB04F9" w:rsidRDefault="00CB04F9" w:rsidP="00CB04F9">
      <w:pPr>
        <w:ind w:firstLine="708"/>
        <w:jc w:val="both"/>
        <w:rPr>
          <w:rFonts w:ascii="Bookman Old Style" w:hAnsi="Bookman Old Style"/>
          <w:szCs w:val="26"/>
        </w:rPr>
      </w:pPr>
    </w:p>
    <w:p w14:paraId="608C2930" w14:textId="77777777" w:rsidR="00CB04F9" w:rsidRDefault="00CB04F9" w:rsidP="00CB04F9">
      <w:pPr>
        <w:spacing w:line="276" w:lineRule="auto"/>
        <w:jc w:val="both"/>
        <w:rPr>
          <w:rFonts w:ascii="Garamond" w:hAnsi="Garamond"/>
          <w:sz w:val="28"/>
          <w:szCs w:val="28"/>
        </w:rPr>
      </w:pPr>
      <w:r>
        <w:rPr>
          <w:rFonts w:ascii="Garamond" w:hAnsi="Garamond"/>
          <w:sz w:val="28"/>
          <w:szCs w:val="28"/>
        </w:rPr>
        <w:tab/>
      </w:r>
      <w:r w:rsidRPr="003F4797">
        <w:rPr>
          <w:rFonts w:ascii="Garamond" w:hAnsi="Garamond"/>
          <w:sz w:val="28"/>
          <w:szCs w:val="28"/>
        </w:rPr>
        <w:t>Como expresa el artículo 706 LECrim “</w:t>
      </w:r>
      <w:r w:rsidRPr="00497C7A">
        <w:rPr>
          <w:rFonts w:ascii="Garamond" w:hAnsi="Garamond"/>
          <w:i/>
          <w:sz w:val="28"/>
          <w:szCs w:val="28"/>
        </w:rPr>
        <w:t>El testigo mayor de 14 años prestará juramento o promesa de decir verdad y será instruido de la obligación de ser veraz, así como, si fuera mayor de edad penal, de las penas con que el Código penal castiga el falso testimonio</w:t>
      </w:r>
      <w:r w:rsidRPr="003F4797">
        <w:rPr>
          <w:rFonts w:ascii="Garamond" w:hAnsi="Garamond"/>
          <w:sz w:val="28"/>
          <w:szCs w:val="28"/>
        </w:rPr>
        <w:t>”. Añade el artículo 707 LECrim</w:t>
      </w:r>
      <w:r>
        <w:rPr>
          <w:rFonts w:ascii="Garamond" w:hAnsi="Garamond"/>
          <w:sz w:val="28"/>
          <w:szCs w:val="28"/>
        </w:rPr>
        <w:t>, reformado por la LO 8/20121,</w:t>
      </w:r>
      <w:r w:rsidRPr="003F4797">
        <w:rPr>
          <w:rFonts w:ascii="Garamond" w:hAnsi="Garamond"/>
          <w:sz w:val="28"/>
          <w:szCs w:val="28"/>
        </w:rPr>
        <w:t xml:space="preserve"> que </w:t>
      </w:r>
      <w:r>
        <w:rPr>
          <w:rFonts w:ascii="Garamond" w:hAnsi="Garamond"/>
          <w:sz w:val="28"/>
          <w:szCs w:val="28"/>
        </w:rPr>
        <w:t>“</w:t>
      </w:r>
      <w:r w:rsidRPr="00371B6B">
        <w:rPr>
          <w:rFonts w:ascii="Garamond" w:hAnsi="Garamond"/>
          <w:i/>
          <w:sz w:val="28"/>
          <w:szCs w:val="28"/>
        </w:rPr>
        <w:t xml:space="preserve">fuera de los casos previstos en el artículo 703 bis, cuando una persona menor de dieciocho años o una </w:t>
      </w:r>
      <w:r w:rsidRPr="00371B6B">
        <w:rPr>
          <w:rFonts w:ascii="Garamond" w:hAnsi="Garamond"/>
          <w:i/>
          <w:sz w:val="28"/>
          <w:szCs w:val="28"/>
        </w:rPr>
        <w:lastRenderedPageBreak/>
        <w:t>persona con discapacidad necesitada de especial protección deba intervenir en el acto del juicio, su declaración se llevará a cabo, cuando resulte necesario para impedir o reducir los perjuicios que para ella puedan derivar del desarrollo del proceso o de la práctica de la diligencia, evitando la confrontación visual con la persona inculpada. Con este fin podrá ser utilizado cualquier medio técnico que haga posible la práctica de esta prueba, incluyéndose la posibilidad de que los testigos puedan ser oídos sin estar presentes en la sala mediante la utilización de tecnologías de la comunicación accesible</w:t>
      </w:r>
      <w:r>
        <w:rPr>
          <w:rFonts w:ascii="Garamond" w:hAnsi="Garamond"/>
          <w:sz w:val="28"/>
          <w:szCs w:val="28"/>
        </w:rPr>
        <w:t>”</w:t>
      </w:r>
      <w:r w:rsidRPr="00371B6B">
        <w:rPr>
          <w:rFonts w:ascii="Garamond" w:hAnsi="Garamond"/>
          <w:sz w:val="28"/>
          <w:szCs w:val="28"/>
        </w:rPr>
        <w:t>.</w:t>
      </w:r>
    </w:p>
    <w:p w14:paraId="7C14F631" w14:textId="77777777" w:rsidR="00CB04F9" w:rsidRDefault="00CB04F9" w:rsidP="00CB04F9">
      <w:pPr>
        <w:ind w:firstLine="708"/>
        <w:jc w:val="both"/>
        <w:rPr>
          <w:rFonts w:ascii="Bookman Old Style" w:hAnsi="Bookman Old Style"/>
          <w:szCs w:val="26"/>
        </w:rPr>
      </w:pPr>
    </w:p>
    <w:p w14:paraId="4B35BB3F" w14:textId="77777777" w:rsidR="00CB04F9" w:rsidRDefault="00CB04F9" w:rsidP="00CB04F9">
      <w:pPr>
        <w:ind w:firstLine="708"/>
        <w:jc w:val="both"/>
        <w:rPr>
          <w:rFonts w:ascii="Bookman Old Style" w:hAnsi="Bookman Old Style"/>
          <w:szCs w:val="26"/>
        </w:rPr>
      </w:pPr>
    </w:p>
    <w:p w14:paraId="675D4D0E" w14:textId="77777777" w:rsidR="00CB04F9" w:rsidRDefault="00CB04F9" w:rsidP="00CB04F9">
      <w:pPr>
        <w:ind w:firstLine="708"/>
        <w:jc w:val="both"/>
        <w:rPr>
          <w:rFonts w:ascii="Bookman Old Style" w:hAnsi="Bookman Old Style"/>
          <w:szCs w:val="26"/>
        </w:rPr>
      </w:pPr>
      <w:r w:rsidRPr="00C622C3">
        <w:rPr>
          <w:rFonts w:ascii="Bookman Old Style" w:hAnsi="Bookman Old Style"/>
          <w:b/>
          <w:szCs w:val="26"/>
        </w:rPr>
        <w:t>Tema XXI</w:t>
      </w:r>
      <w:r>
        <w:rPr>
          <w:rFonts w:ascii="Bookman Old Style" w:hAnsi="Bookman Old Style"/>
          <w:szCs w:val="26"/>
        </w:rPr>
        <w:t>. Pág. 337. Añadid un párrafo cuarto, con la siguiente redacción:</w:t>
      </w:r>
    </w:p>
    <w:p w14:paraId="016204E1" w14:textId="77777777" w:rsidR="00CB04F9" w:rsidRDefault="00CB04F9" w:rsidP="00CB04F9">
      <w:pPr>
        <w:ind w:firstLine="708"/>
        <w:jc w:val="both"/>
        <w:rPr>
          <w:rFonts w:ascii="Bookman Old Style" w:hAnsi="Bookman Old Style"/>
          <w:szCs w:val="26"/>
        </w:rPr>
      </w:pPr>
    </w:p>
    <w:p w14:paraId="2861E9B5" w14:textId="77777777" w:rsidR="00DC1402" w:rsidRPr="003F4797" w:rsidRDefault="00DC1402" w:rsidP="00DC1402">
      <w:pPr>
        <w:spacing w:line="276" w:lineRule="auto"/>
        <w:jc w:val="both"/>
        <w:rPr>
          <w:rFonts w:ascii="Garamond" w:hAnsi="Garamond"/>
          <w:sz w:val="28"/>
          <w:szCs w:val="28"/>
        </w:rPr>
      </w:pPr>
      <w:r>
        <w:rPr>
          <w:rFonts w:ascii="Garamond" w:hAnsi="Garamond"/>
          <w:sz w:val="28"/>
          <w:szCs w:val="28"/>
        </w:rPr>
        <w:tab/>
        <w:t>En relación con los testigos menores de catorce años o discapacitados, establece el artículo 703 bis, fruto de la LO 8/2021, que “</w:t>
      </w:r>
      <w:r w:rsidRPr="00371B6B">
        <w:rPr>
          <w:rFonts w:ascii="Garamond" w:hAnsi="Garamond"/>
          <w:i/>
          <w:sz w:val="28"/>
          <w:szCs w:val="28"/>
        </w:rPr>
        <w:t>en los supuestos previstos en el artículo 449 ter, la autoridad judicial solo podrá acordar la intervención del testigo en el acto del juicio, con carácter excepcional, cuando sea interesada por alguna de las partes y considerada necesaria en resolución motivada, asegurando que la grabación audiovisual cuenta con los apoyos de accesibilidad cuando el testigo sea una persona con discapacidad. En todo caso, la autoridad judicial encargada del enjuiciamiento, a instancia de parte, podrá acordar su intervención en la vista cuando la prueba preconstituida no reúna todos los requisitos previstos en el artículo 449 bis y cause indefensión a alguna de las partes</w:t>
      </w:r>
      <w:r>
        <w:rPr>
          <w:rFonts w:ascii="Garamond" w:hAnsi="Garamond"/>
          <w:sz w:val="28"/>
          <w:szCs w:val="28"/>
        </w:rPr>
        <w:t>”.</w:t>
      </w:r>
    </w:p>
    <w:p w14:paraId="4F4F808C" w14:textId="77777777" w:rsidR="00CB04F9" w:rsidRDefault="00CB04F9" w:rsidP="00CB04F9">
      <w:pPr>
        <w:ind w:firstLine="708"/>
        <w:jc w:val="both"/>
        <w:rPr>
          <w:rFonts w:ascii="Bookman Old Style" w:hAnsi="Bookman Old Style"/>
          <w:szCs w:val="26"/>
        </w:rPr>
      </w:pPr>
    </w:p>
    <w:p w14:paraId="38035E41" w14:textId="77777777" w:rsidR="00DC1402" w:rsidRDefault="00DC1402" w:rsidP="00DC1402">
      <w:pPr>
        <w:ind w:firstLine="708"/>
        <w:jc w:val="both"/>
        <w:rPr>
          <w:rFonts w:ascii="Bookman Old Style" w:hAnsi="Bookman Old Style"/>
          <w:szCs w:val="26"/>
        </w:rPr>
      </w:pPr>
      <w:r w:rsidRPr="00C622C3">
        <w:rPr>
          <w:rFonts w:ascii="Bookman Old Style" w:hAnsi="Bookman Old Style"/>
          <w:b/>
          <w:szCs w:val="26"/>
        </w:rPr>
        <w:t>Tema XX</w:t>
      </w:r>
      <w:r>
        <w:rPr>
          <w:rFonts w:ascii="Bookman Old Style" w:hAnsi="Bookman Old Style"/>
          <w:b/>
          <w:szCs w:val="26"/>
        </w:rPr>
        <w:t>V</w:t>
      </w:r>
      <w:r w:rsidRPr="00C622C3">
        <w:rPr>
          <w:rFonts w:ascii="Bookman Old Style" w:hAnsi="Bookman Old Style"/>
          <w:b/>
          <w:szCs w:val="26"/>
        </w:rPr>
        <w:t>I</w:t>
      </w:r>
      <w:r>
        <w:rPr>
          <w:rFonts w:ascii="Bookman Old Style" w:hAnsi="Bookman Old Style"/>
          <w:szCs w:val="26"/>
        </w:rPr>
        <w:t>. Pág. 420. Añadid un párrafo cuarto, con la siguiente redacción:</w:t>
      </w:r>
    </w:p>
    <w:p w14:paraId="7443A83F" w14:textId="77777777" w:rsidR="00DC1402" w:rsidRDefault="00DC1402" w:rsidP="00DC1402">
      <w:pPr>
        <w:ind w:firstLine="708"/>
        <w:jc w:val="both"/>
        <w:rPr>
          <w:rFonts w:ascii="Bookman Old Style" w:hAnsi="Bookman Old Style"/>
          <w:szCs w:val="26"/>
        </w:rPr>
      </w:pPr>
    </w:p>
    <w:p w14:paraId="629A6169" w14:textId="77777777" w:rsidR="00DC1402" w:rsidRPr="00CF22A7" w:rsidRDefault="00DC1402" w:rsidP="00DC1402">
      <w:pPr>
        <w:tabs>
          <w:tab w:val="left" w:pos="-720"/>
        </w:tabs>
        <w:spacing w:line="276" w:lineRule="auto"/>
        <w:jc w:val="both"/>
        <w:rPr>
          <w:rFonts w:ascii="Garamond" w:hAnsi="Garamond"/>
          <w:bCs/>
          <w:iCs/>
          <w:sz w:val="28"/>
          <w:szCs w:val="28"/>
        </w:rPr>
      </w:pPr>
      <w:r>
        <w:rPr>
          <w:rFonts w:ascii="Garamond" w:hAnsi="Garamond"/>
          <w:bCs/>
          <w:iCs/>
          <w:sz w:val="28"/>
          <w:szCs w:val="28"/>
        </w:rPr>
        <w:tab/>
        <w:t>La Ley Orgánica 8/2021, de protección integral a la infancia y la adolescencia frente a la violencia ha añadido un apartado tercero al artículo 777, en el que se establece que “</w:t>
      </w:r>
      <w:r w:rsidRPr="00CF22A7">
        <w:rPr>
          <w:rFonts w:ascii="Garamond" w:hAnsi="Garamond"/>
          <w:bCs/>
          <w:i/>
          <w:iCs/>
          <w:sz w:val="28"/>
          <w:szCs w:val="28"/>
        </w:rPr>
        <w:t>cuando una persona menor de catorce años o una persona con discapacidad necesitada de especial protección deba intervenir en condición de testigo, será de aplicación lo dispuesto en el artículo 449 ter, debiendo la autoridad judicial practicar prueba preconstituida, siempre que el objeto del procedimiento sea la instrucción de alguno de los delitos relacionados en tal artículo. A efectos de su valoración como prueba en sentencia, la parte a quien interese deberá instar en el juicio oral la reproducción de la grabación audiovisual, en los términos del artículo 730.2</w:t>
      </w:r>
      <w:r w:rsidRPr="00CF22A7">
        <w:rPr>
          <w:rFonts w:ascii="Garamond" w:hAnsi="Garamond"/>
          <w:bCs/>
          <w:iCs/>
          <w:sz w:val="28"/>
          <w:szCs w:val="28"/>
        </w:rPr>
        <w:t>.</w:t>
      </w:r>
      <w:r>
        <w:rPr>
          <w:rFonts w:ascii="Garamond" w:hAnsi="Garamond"/>
          <w:bCs/>
          <w:iCs/>
          <w:sz w:val="28"/>
          <w:szCs w:val="28"/>
        </w:rPr>
        <w:t>”</w:t>
      </w:r>
    </w:p>
    <w:p w14:paraId="5797E1F8" w14:textId="77777777" w:rsidR="00DC1402" w:rsidRDefault="00DC1402" w:rsidP="00DC1402">
      <w:pPr>
        <w:ind w:firstLine="708"/>
        <w:jc w:val="both"/>
        <w:rPr>
          <w:rFonts w:ascii="Bookman Old Style" w:hAnsi="Bookman Old Style"/>
          <w:szCs w:val="26"/>
        </w:rPr>
      </w:pPr>
    </w:p>
    <w:p w14:paraId="78C4C55A" w14:textId="77777777" w:rsidR="00DC1402" w:rsidRDefault="00DC1402" w:rsidP="00DC1402">
      <w:pPr>
        <w:ind w:firstLine="708"/>
        <w:jc w:val="both"/>
        <w:rPr>
          <w:rFonts w:ascii="Bookman Old Style" w:hAnsi="Bookman Old Style"/>
          <w:szCs w:val="26"/>
        </w:rPr>
      </w:pPr>
      <w:r w:rsidRPr="00C622C3">
        <w:rPr>
          <w:rFonts w:ascii="Bookman Old Style" w:hAnsi="Bookman Old Style"/>
          <w:b/>
          <w:szCs w:val="26"/>
        </w:rPr>
        <w:t>Tema XX</w:t>
      </w:r>
      <w:r>
        <w:rPr>
          <w:rFonts w:ascii="Bookman Old Style" w:hAnsi="Bookman Old Style"/>
          <w:b/>
          <w:szCs w:val="26"/>
        </w:rPr>
        <w:t>VII</w:t>
      </w:r>
      <w:r w:rsidRPr="00C622C3">
        <w:rPr>
          <w:rFonts w:ascii="Bookman Old Style" w:hAnsi="Bookman Old Style"/>
          <w:b/>
          <w:szCs w:val="26"/>
        </w:rPr>
        <w:t>I</w:t>
      </w:r>
      <w:r>
        <w:rPr>
          <w:rFonts w:ascii="Bookman Old Style" w:hAnsi="Bookman Old Style"/>
          <w:szCs w:val="26"/>
        </w:rPr>
        <w:t>. Pág. 4</w:t>
      </w:r>
      <w:r w:rsidR="000300E3">
        <w:rPr>
          <w:rFonts w:ascii="Bookman Old Style" w:hAnsi="Bookman Old Style"/>
          <w:szCs w:val="26"/>
        </w:rPr>
        <w:t>45</w:t>
      </w:r>
      <w:r>
        <w:rPr>
          <w:rFonts w:ascii="Bookman Old Style" w:hAnsi="Bookman Old Style"/>
          <w:szCs w:val="26"/>
        </w:rPr>
        <w:t xml:space="preserve">. </w:t>
      </w:r>
      <w:r w:rsidR="000300E3">
        <w:rPr>
          <w:rFonts w:ascii="Bookman Old Style" w:hAnsi="Bookman Old Style"/>
          <w:szCs w:val="26"/>
        </w:rPr>
        <w:t>El párrafo segundo (Si no hay conformidad…) se desdobla en los dos siguientes</w:t>
      </w:r>
      <w:r>
        <w:rPr>
          <w:rFonts w:ascii="Bookman Old Style" w:hAnsi="Bookman Old Style"/>
          <w:szCs w:val="26"/>
        </w:rPr>
        <w:t>:</w:t>
      </w:r>
    </w:p>
    <w:p w14:paraId="2FD3FADE" w14:textId="77777777" w:rsidR="00DC1402" w:rsidRDefault="00DC1402" w:rsidP="00DC1402">
      <w:pPr>
        <w:ind w:firstLine="708"/>
        <w:jc w:val="both"/>
        <w:rPr>
          <w:rFonts w:ascii="Bookman Old Style" w:hAnsi="Bookman Old Style"/>
          <w:szCs w:val="26"/>
        </w:rPr>
      </w:pPr>
    </w:p>
    <w:p w14:paraId="724BE326" w14:textId="77777777" w:rsidR="000300E3" w:rsidRDefault="000300E3" w:rsidP="000300E3">
      <w:pPr>
        <w:tabs>
          <w:tab w:val="left" w:pos="-720"/>
        </w:tabs>
        <w:spacing w:line="276" w:lineRule="auto"/>
        <w:jc w:val="both"/>
        <w:rPr>
          <w:rFonts w:ascii="Garamond" w:hAnsi="Garamond"/>
          <w:sz w:val="28"/>
          <w:szCs w:val="28"/>
        </w:rPr>
      </w:pPr>
      <w:r>
        <w:rPr>
          <w:rFonts w:ascii="Garamond" w:hAnsi="Garamond"/>
          <w:sz w:val="28"/>
          <w:szCs w:val="28"/>
        </w:rPr>
        <w:tab/>
      </w:r>
      <w:r w:rsidRPr="003D07B4">
        <w:rPr>
          <w:rFonts w:ascii="Garamond" w:hAnsi="Garamond"/>
          <w:sz w:val="28"/>
          <w:szCs w:val="28"/>
        </w:rPr>
        <w:t>-Si no hay conformidad, se procede a la práctica de la prueba, que se realizará concentradamente y con arreglo a las normas del procedimiento ordinario</w:t>
      </w:r>
      <w:r>
        <w:rPr>
          <w:rFonts w:ascii="Garamond" w:hAnsi="Garamond"/>
          <w:sz w:val="28"/>
          <w:szCs w:val="28"/>
        </w:rPr>
        <w:t xml:space="preserve">. En este punto la Ley Orgánica 8/2021, de protección integral a la </w:t>
      </w:r>
      <w:r>
        <w:rPr>
          <w:rFonts w:ascii="Garamond" w:hAnsi="Garamond"/>
          <w:sz w:val="28"/>
          <w:szCs w:val="28"/>
        </w:rPr>
        <w:lastRenderedPageBreak/>
        <w:t>infancia y la adolescencia, introduce un apartado en este artículo 788 en el que dispone que “</w:t>
      </w:r>
      <w:r w:rsidRPr="00E14B15">
        <w:rPr>
          <w:rFonts w:ascii="Garamond" w:hAnsi="Garamond"/>
          <w:i/>
          <w:sz w:val="28"/>
          <w:szCs w:val="28"/>
        </w:rPr>
        <w:t>será de aplicación lo dispuesto en el artículo 703 bis en cuanto a la no intervención en el acto del juicio del testigo, cuando se haya practicado prueba preconstituida de conformidad con lo dispuesto en los artículos 449 bis y siguientes</w:t>
      </w:r>
      <w:r>
        <w:rPr>
          <w:rFonts w:ascii="Garamond" w:hAnsi="Garamond"/>
          <w:sz w:val="28"/>
          <w:szCs w:val="28"/>
        </w:rPr>
        <w:t xml:space="preserve">”. </w:t>
      </w:r>
    </w:p>
    <w:p w14:paraId="6456141A" w14:textId="77777777" w:rsidR="000300E3" w:rsidRDefault="000300E3" w:rsidP="000300E3">
      <w:pPr>
        <w:ind w:firstLine="708"/>
        <w:jc w:val="both"/>
        <w:rPr>
          <w:rFonts w:ascii="Bookman Old Style" w:hAnsi="Bookman Old Style"/>
          <w:szCs w:val="26"/>
        </w:rPr>
      </w:pPr>
      <w:r>
        <w:rPr>
          <w:rFonts w:ascii="Garamond" w:hAnsi="Garamond"/>
          <w:sz w:val="28"/>
          <w:szCs w:val="28"/>
        </w:rPr>
        <w:tab/>
        <w:t xml:space="preserve">-Partiendo de la remisión a las normas del procedimiento ordinario en materia de prueba, el artículo 788 LECrim hace </w:t>
      </w:r>
      <w:r w:rsidRPr="003D07B4">
        <w:rPr>
          <w:rFonts w:ascii="Garamond" w:hAnsi="Garamond"/>
          <w:sz w:val="28"/>
          <w:szCs w:val="28"/>
        </w:rPr>
        <w:t xml:space="preserve">dos </w:t>
      </w:r>
      <w:r>
        <w:rPr>
          <w:rFonts w:ascii="Garamond" w:hAnsi="Garamond"/>
          <w:sz w:val="28"/>
          <w:szCs w:val="28"/>
        </w:rPr>
        <w:t>precis</w:t>
      </w:r>
      <w:r w:rsidRPr="003D07B4">
        <w:rPr>
          <w:rFonts w:ascii="Garamond" w:hAnsi="Garamond"/>
          <w:sz w:val="28"/>
          <w:szCs w:val="28"/>
        </w:rPr>
        <w:t>iones: a) que el informe pericial podrá ser prestado por un solo perito y b) que</w:t>
      </w:r>
      <w:r>
        <w:rPr>
          <w:rFonts w:ascii="Garamond" w:hAnsi="Garamond"/>
          <w:sz w:val="28"/>
          <w:szCs w:val="28"/>
        </w:rPr>
        <w:t>,</w:t>
      </w:r>
      <w:r w:rsidRPr="003D07B4">
        <w:rPr>
          <w:rFonts w:ascii="Garamond" w:hAnsi="Garamond"/>
          <w:sz w:val="28"/>
          <w:szCs w:val="28"/>
        </w:rPr>
        <w:t xml:space="preserve"> en el ámbito de este procedimiento, tendrán carácter de prueba documental los informes emitidos por laboratorios oficiales sobre la naturaleza, cantidad y pureza de sustancias estupefacientes (art. 788.</w:t>
      </w:r>
      <w:r>
        <w:rPr>
          <w:rFonts w:ascii="Garamond" w:hAnsi="Garamond"/>
          <w:sz w:val="28"/>
          <w:szCs w:val="28"/>
        </w:rPr>
        <w:t>3</w:t>
      </w:r>
      <w:r w:rsidRPr="003D07B4">
        <w:rPr>
          <w:rFonts w:ascii="Garamond" w:hAnsi="Garamond"/>
          <w:sz w:val="28"/>
          <w:szCs w:val="28"/>
        </w:rPr>
        <w:t>).</w:t>
      </w:r>
    </w:p>
    <w:p w14:paraId="554E077B" w14:textId="77777777" w:rsidR="000300E3" w:rsidRDefault="000300E3" w:rsidP="00DC1402">
      <w:pPr>
        <w:ind w:firstLine="708"/>
        <w:jc w:val="both"/>
        <w:rPr>
          <w:rFonts w:ascii="Bookman Old Style" w:hAnsi="Bookman Old Style"/>
          <w:szCs w:val="26"/>
        </w:rPr>
      </w:pPr>
    </w:p>
    <w:p w14:paraId="2D81D1F3" w14:textId="77777777" w:rsidR="000300E3" w:rsidRDefault="000300E3" w:rsidP="00DC1402">
      <w:pPr>
        <w:ind w:firstLine="708"/>
        <w:jc w:val="both"/>
        <w:rPr>
          <w:rFonts w:ascii="Bookman Old Style" w:hAnsi="Bookman Old Style"/>
          <w:szCs w:val="26"/>
        </w:rPr>
      </w:pPr>
      <w:r>
        <w:rPr>
          <w:rFonts w:ascii="Bookman Old Style" w:hAnsi="Bookman Old Style"/>
          <w:b/>
          <w:szCs w:val="26"/>
        </w:rPr>
        <w:t xml:space="preserve">Tema XXXVIII. </w:t>
      </w:r>
      <w:r>
        <w:rPr>
          <w:rFonts w:ascii="Bookman Old Style" w:hAnsi="Bookman Old Style"/>
          <w:szCs w:val="26"/>
        </w:rPr>
        <w:t>Con motivo de la elaboración de la cuarta edición del manual, este tema es objeto de una profunda revisión, que afecta más que al contenido a la organización y distribución de sus contenidos.</w:t>
      </w:r>
    </w:p>
    <w:p w14:paraId="68603011" w14:textId="77777777" w:rsidR="000300E3" w:rsidRPr="000300E3" w:rsidRDefault="000300E3" w:rsidP="00DC1402">
      <w:pPr>
        <w:ind w:firstLine="708"/>
        <w:jc w:val="both"/>
        <w:rPr>
          <w:rFonts w:ascii="Bookman Old Style" w:hAnsi="Bookman Old Style"/>
          <w:szCs w:val="26"/>
        </w:rPr>
      </w:pPr>
      <w:r>
        <w:rPr>
          <w:rFonts w:ascii="Bookman Old Style" w:hAnsi="Bookman Old Style"/>
          <w:szCs w:val="26"/>
        </w:rPr>
        <w:t>Se adjunta texto íntegro del tema tal como aparecerá en la próxima edición, cuya salida está prevista para el mes de septiembre de 2021.</w:t>
      </w:r>
    </w:p>
    <w:p w14:paraId="4D20DF61" w14:textId="77777777" w:rsidR="00DC1402" w:rsidRDefault="00DC1402" w:rsidP="00DC1402">
      <w:pPr>
        <w:ind w:firstLine="708"/>
        <w:jc w:val="both"/>
        <w:rPr>
          <w:rFonts w:ascii="Bookman Old Style" w:hAnsi="Bookman Old Style"/>
          <w:szCs w:val="26"/>
        </w:rPr>
      </w:pPr>
    </w:p>
    <w:p w14:paraId="012678F7" w14:textId="77777777" w:rsidR="008E3DA3" w:rsidRDefault="008E3DA3" w:rsidP="008E3DA3">
      <w:pPr>
        <w:spacing w:line="276" w:lineRule="auto"/>
        <w:jc w:val="both"/>
        <w:rPr>
          <w:rFonts w:ascii="Garamond" w:hAnsi="Garamond"/>
          <w:sz w:val="26"/>
          <w:szCs w:val="26"/>
        </w:rPr>
      </w:pPr>
    </w:p>
    <w:p w14:paraId="3BFB3E59" w14:textId="77777777" w:rsidR="008E3DA3" w:rsidRDefault="008E3DA3" w:rsidP="008E3DA3">
      <w:pPr>
        <w:spacing w:line="276" w:lineRule="auto"/>
        <w:jc w:val="both"/>
        <w:rPr>
          <w:rFonts w:ascii="Garamond" w:hAnsi="Garamond"/>
          <w:sz w:val="26"/>
          <w:szCs w:val="26"/>
        </w:rPr>
      </w:pPr>
    </w:p>
    <w:p w14:paraId="3093B307" w14:textId="77777777" w:rsidR="008E3DA3" w:rsidRPr="007356EE" w:rsidRDefault="008E3DA3" w:rsidP="008E3DA3">
      <w:pPr>
        <w:spacing w:line="276" w:lineRule="auto"/>
        <w:jc w:val="center"/>
        <w:rPr>
          <w:rFonts w:ascii="Garamond" w:hAnsi="Garamond"/>
          <w:sz w:val="26"/>
          <w:szCs w:val="26"/>
        </w:rPr>
      </w:pPr>
      <w:r w:rsidRPr="007356EE">
        <w:rPr>
          <w:rFonts w:ascii="Garamond" w:hAnsi="Garamond"/>
          <w:sz w:val="26"/>
          <w:szCs w:val="26"/>
        </w:rPr>
        <w:t>TEMA XXXVIII</w:t>
      </w:r>
    </w:p>
    <w:p w14:paraId="2D47D88E" w14:textId="77777777" w:rsidR="008E3DA3" w:rsidRDefault="008E3DA3" w:rsidP="008E3DA3">
      <w:pPr>
        <w:spacing w:line="276" w:lineRule="auto"/>
        <w:jc w:val="center"/>
        <w:rPr>
          <w:rFonts w:ascii="Garamond" w:hAnsi="Garamond"/>
          <w:sz w:val="28"/>
          <w:szCs w:val="26"/>
        </w:rPr>
      </w:pPr>
    </w:p>
    <w:p w14:paraId="384B7E3A" w14:textId="77777777" w:rsidR="008E3DA3" w:rsidRPr="000C1FAD" w:rsidRDefault="008E3DA3" w:rsidP="008E3DA3">
      <w:pPr>
        <w:spacing w:line="276" w:lineRule="auto"/>
        <w:jc w:val="center"/>
        <w:rPr>
          <w:rFonts w:ascii="Garamond" w:hAnsi="Garamond"/>
          <w:sz w:val="32"/>
          <w:szCs w:val="26"/>
        </w:rPr>
      </w:pPr>
      <w:r w:rsidRPr="000C1FAD">
        <w:rPr>
          <w:rFonts w:ascii="Garamond" w:hAnsi="Garamond"/>
          <w:sz w:val="32"/>
          <w:szCs w:val="26"/>
        </w:rPr>
        <w:t>COOPERACIÓN JUDICIAL PENAL INTERNACIONAL</w:t>
      </w:r>
    </w:p>
    <w:p w14:paraId="43364B37" w14:textId="77777777" w:rsidR="008E3DA3" w:rsidRPr="007356EE" w:rsidRDefault="008E3DA3" w:rsidP="008E3DA3">
      <w:pPr>
        <w:spacing w:line="276" w:lineRule="auto"/>
        <w:jc w:val="center"/>
        <w:rPr>
          <w:rFonts w:ascii="Garamond" w:hAnsi="Garamond"/>
          <w:sz w:val="26"/>
          <w:szCs w:val="26"/>
        </w:rPr>
      </w:pPr>
    </w:p>
    <w:p w14:paraId="14F05626" w14:textId="77777777" w:rsidR="008E3DA3" w:rsidRPr="007356EE" w:rsidRDefault="008E3DA3" w:rsidP="008E3DA3">
      <w:pPr>
        <w:spacing w:line="276" w:lineRule="auto"/>
        <w:jc w:val="center"/>
        <w:rPr>
          <w:rFonts w:ascii="Garamond" w:hAnsi="Garamond"/>
          <w:sz w:val="26"/>
          <w:szCs w:val="26"/>
        </w:rPr>
      </w:pPr>
    </w:p>
    <w:p w14:paraId="6325A91F" w14:textId="77777777" w:rsidR="008E3DA3" w:rsidRPr="000C1FAD" w:rsidRDefault="008E3DA3" w:rsidP="008E3DA3">
      <w:pPr>
        <w:spacing w:line="276" w:lineRule="auto"/>
        <w:ind w:hanging="540"/>
        <w:jc w:val="both"/>
        <w:rPr>
          <w:rFonts w:ascii="Garamond" w:hAnsi="Garamond"/>
          <w:iCs/>
        </w:rPr>
      </w:pPr>
      <w:r w:rsidRPr="007356EE">
        <w:rPr>
          <w:rFonts w:ascii="Garamond" w:hAnsi="Garamond"/>
          <w:sz w:val="26"/>
          <w:szCs w:val="26"/>
        </w:rPr>
        <w:tab/>
      </w:r>
      <w:r w:rsidRPr="007356EE">
        <w:rPr>
          <w:rFonts w:ascii="Garamond" w:hAnsi="Garamond"/>
        </w:rPr>
        <w:t>SUMARIO: I.</w:t>
      </w:r>
      <w:r w:rsidRPr="007356EE">
        <w:rPr>
          <w:rFonts w:ascii="Garamond" w:hAnsi="Garamond"/>
          <w:iCs/>
        </w:rPr>
        <w:t xml:space="preserve"> Cooperación judicial penal internacional. II. Instrumentos bilaterales y multilaterales de cooperación judicial penal. III. El Estatuto de Roma y la Corte Penal Internacional. IV. Cooperación judicial penal en el marco del Consejo de Europa: el Convenio de Asistencia Judicial Penal de 1959 y el Convenio Europeo de Extradición. </w:t>
      </w:r>
    </w:p>
    <w:p w14:paraId="36D608BE" w14:textId="77777777" w:rsidR="008E3DA3" w:rsidRDefault="008E3DA3" w:rsidP="008E3DA3">
      <w:pPr>
        <w:spacing w:line="276" w:lineRule="auto"/>
        <w:jc w:val="both"/>
        <w:rPr>
          <w:rFonts w:ascii="Garamond" w:hAnsi="Garamond"/>
          <w:sz w:val="28"/>
          <w:szCs w:val="28"/>
        </w:rPr>
      </w:pPr>
    </w:p>
    <w:p w14:paraId="4C1A2BE0" w14:textId="77777777" w:rsidR="008E3DA3" w:rsidRDefault="008E3DA3" w:rsidP="008E3DA3">
      <w:pPr>
        <w:spacing w:line="276" w:lineRule="auto"/>
        <w:jc w:val="both"/>
        <w:rPr>
          <w:rFonts w:ascii="Garamond" w:hAnsi="Garamond"/>
          <w:sz w:val="28"/>
          <w:szCs w:val="28"/>
        </w:rPr>
      </w:pPr>
    </w:p>
    <w:p w14:paraId="23121BD3" w14:textId="77777777" w:rsidR="008E3DA3" w:rsidRDefault="008E3DA3" w:rsidP="008E3DA3">
      <w:pPr>
        <w:spacing w:line="276" w:lineRule="auto"/>
        <w:jc w:val="both"/>
        <w:rPr>
          <w:rFonts w:ascii="Garamond" w:hAnsi="Garamond"/>
          <w:sz w:val="28"/>
          <w:szCs w:val="28"/>
        </w:rPr>
      </w:pPr>
    </w:p>
    <w:p w14:paraId="08C23344"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sz w:val="28"/>
          <w:szCs w:val="28"/>
        </w:rPr>
        <w:t>I. COOPERACIÓN JUDICIAL PENAL INTERNACIONAL</w:t>
      </w:r>
      <w:r w:rsidRPr="000C1FAD">
        <w:rPr>
          <w:rFonts w:ascii="Garamond" w:hAnsi="Garamond"/>
          <w:bCs/>
          <w:sz w:val="28"/>
          <w:szCs w:val="28"/>
        </w:rPr>
        <w:t xml:space="preserve"> </w:t>
      </w:r>
    </w:p>
    <w:p w14:paraId="1D35615E" w14:textId="77777777" w:rsidR="008E3DA3" w:rsidRDefault="008E3DA3" w:rsidP="008E3DA3">
      <w:pPr>
        <w:spacing w:line="276" w:lineRule="auto"/>
        <w:jc w:val="both"/>
        <w:rPr>
          <w:rFonts w:ascii="Garamond" w:hAnsi="Garamond"/>
          <w:bCs/>
          <w:sz w:val="28"/>
          <w:szCs w:val="28"/>
        </w:rPr>
      </w:pPr>
    </w:p>
    <w:p w14:paraId="23E50654" w14:textId="77777777" w:rsidR="008E3DA3" w:rsidRDefault="008E3DA3" w:rsidP="008E3DA3">
      <w:pPr>
        <w:spacing w:line="276" w:lineRule="auto"/>
        <w:jc w:val="both"/>
        <w:rPr>
          <w:rFonts w:ascii="Garamond" w:hAnsi="Garamond"/>
          <w:bCs/>
          <w:sz w:val="28"/>
          <w:szCs w:val="28"/>
        </w:rPr>
      </w:pPr>
      <w:r w:rsidRPr="000C1FAD">
        <w:rPr>
          <w:rFonts w:ascii="Garamond" w:hAnsi="Garamond"/>
          <w:bCs/>
          <w:sz w:val="28"/>
          <w:szCs w:val="28"/>
        </w:rPr>
        <w:tab/>
        <w:t>L</w:t>
      </w:r>
      <w:r w:rsidRPr="000C1FAD">
        <w:rPr>
          <w:rFonts w:ascii="Garamond" w:hAnsi="Garamond"/>
          <w:sz w:val="28"/>
          <w:szCs w:val="28"/>
        </w:rPr>
        <w:t xml:space="preserve">as limitaciones que </w:t>
      </w:r>
      <w:r w:rsidRPr="000C1FAD">
        <w:rPr>
          <w:rFonts w:ascii="Garamond" w:hAnsi="Garamond"/>
          <w:bCs/>
          <w:sz w:val="28"/>
          <w:szCs w:val="28"/>
        </w:rPr>
        <w:t xml:space="preserve">el principio de territorialidad impone a la actuación de los órganos jurisdiccionales, en el sentido de que no pueden éstos realizar válidamente actos procesales fuera del territorio de su jurisdicción, obliga a crear mecanismos de cooperación jurisdiccional, tanto en el ámbito interno, como en el internacional. </w:t>
      </w:r>
    </w:p>
    <w:p w14:paraId="24307A51" w14:textId="77777777" w:rsidR="008E3DA3" w:rsidRDefault="008E3DA3" w:rsidP="008E3DA3">
      <w:pPr>
        <w:spacing w:line="276" w:lineRule="auto"/>
        <w:jc w:val="both"/>
        <w:rPr>
          <w:rFonts w:ascii="Garamond" w:hAnsi="Garamond"/>
          <w:bCs/>
          <w:szCs w:val="28"/>
        </w:rPr>
      </w:pPr>
    </w:p>
    <w:p w14:paraId="72D138EF" w14:textId="77777777" w:rsidR="008E3DA3" w:rsidRPr="000C1FAD" w:rsidRDefault="008E3DA3" w:rsidP="008E3DA3">
      <w:pPr>
        <w:spacing w:line="276" w:lineRule="auto"/>
        <w:ind w:left="284" w:right="282"/>
        <w:jc w:val="both"/>
        <w:rPr>
          <w:rFonts w:ascii="Garamond" w:hAnsi="Garamond"/>
          <w:bCs/>
          <w:sz w:val="28"/>
          <w:szCs w:val="28"/>
        </w:rPr>
      </w:pPr>
      <w:r>
        <w:rPr>
          <w:rFonts w:ascii="Garamond" w:hAnsi="Garamond"/>
          <w:bCs/>
          <w:szCs w:val="28"/>
        </w:rPr>
        <w:tab/>
      </w:r>
      <w:r w:rsidRPr="00784C9C">
        <w:rPr>
          <w:rFonts w:ascii="Garamond" w:hAnsi="Garamond"/>
          <w:bCs/>
          <w:szCs w:val="28"/>
        </w:rPr>
        <w:t>En el primer caso el deber de cooperación es consecuencia del principio de unidad de jurisdicción; en el segundo, encuentra su fundamento en el deber de solidaridad entre los Estados, especialmente visible en materia penal.</w:t>
      </w:r>
    </w:p>
    <w:p w14:paraId="5F821BEA" w14:textId="77777777" w:rsidR="008E3DA3" w:rsidRDefault="008E3DA3" w:rsidP="008E3DA3">
      <w:pPr>
        <w:spacing w:line="276" w:lineRule="auto"/>
        <w:ind w:firstLine="708"/>
        <w:jc w:val="both"/>
        <w:rPr>
          <w:rFonts w:ascii="Garamond" w:hAnsi="Garamond"/>
          <w:bCs/>
          <w:sz w:val="28"/>
          <w:szCs w:val="28"/>
        </w:rPr>
      </w:pPr>
    </w:p>
    <w:p w14:paraId="1D75B9D9"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En el Derecho español las normas básicas sobre cooperación jurídica internacional se contienen en los arts. 276 a 278 de la LOPJ, conforme a los cuales, las peticiones de cooperación internacional se tramitarán de conformidad con lo previsto en los tratados internacionales, las normas de la Unión Europea y las leyes españolas que resulten de aplicación (art. 276). Las mismas fuentes rigen para las peticiones de cooperación que reciban los Juzgados y Tribunales españoles (art. 277), que sólo podrán denegarlas en los casos siguientes: a) cuando el objeto o finalidad de la cooperación sea manifiestamente contrario al orden público; b) cuando el proceso sea de la exclusiva competencia de la jurisdicción española, c) cuando la actuación solicitada no corresponda a las atribuciones propias de la autoridad judicial española requerida; y d) cuando la solicitud carezca del contenido y requisitos mínimos exigidos para su tramitación (art. 278).</w:t>
      </w:r>
    </w:p>
    <w:p w14:paraId="48678B81" w14:textId="77777777" w:rsidR="008E3DA3" w:rsidRDefault="008E3DA3" w:rsidP="008E3DA3">
      <w:pPr>
        <w:spacing w:line="276" w:lineRule="auto"/>
        <w:ind w:firstLine="708"/>
        <w:jc w:val="both"/>
        <w:rPr>
          <w:rFonts w:ascii="Garamond" w:hAnsi="Garamond"/>
          <w:bCs/>
          <w:sz w:val="28"/>
          <w:szCs w:val="28"/>
        </w:rPr>
      </w:pPr>
    </w:p>
    <w:p w14:paraId="475FAD41" w14:textId="77777777" w:rsidR="008E3DA3" w:rsidRPr="00784C9C" w:rsidRDefault="008E3DA3" w:rsidP="008E3DA3">
      <w:pPr>
        <w:spacing w:line="276" w:lineRule="auto"/>
        <w:ind w:left="284" w:right="282" w:firstLine="708"/>
        <w:jc w:val="both"/>
        <w:rPr>
          <w:rFonts w:ascii="Garamond" w:hAnsi="Garamond"/>
          <w:bCs/>
        </w:rPr>
      </w:pPr>
      <w:r w:rsidRPr="00784C9C">
        <w:rPr>
          <w:rFonts w:ascii="Garamond" w:hAnsi="Garamond"/>
          <w:bCs/>
        </w:rPr>
        <w:t>Estos preceptos fueron desarrollados por el Acuerdo Reglamentario 5/1995 del Pleno del CGPJ que crea la Red Judicial Española de Cooperación Judicial Internacional, cuyo fin es prestar la asistencia necesaria a los órganos judiciales españoles en esta materia.</w:t>
      </w:r>
    </w:p>
    <w:p w14:paraId="3C8664D7" w14:textId="77777777" w:rsidR="008E3DA3" w:rsidRPr="000C1FAD" w:rsidRDefault="008E3DA3" w:rsidP="008E3DA3">
      <w:pPr>
        <w:spacing w:line="276" w:lineRule="auto"/>
        <w:ind w:firstLine="708"/>
        <w:jc w:val="both"/>
        <w:rPr>
          <w:rFonts w:ascii="Garamond" w:hAnsi="Garamond"/>
          <w:bCs/>
          <w:sz w:val="28"/>
          <w:szCs w:val="28"/>
        </w:rPr>
      </w:pPr>
    </w:p>
    <w:p w14:paraId="0AD757DD"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Por lo demás, en esta materia el art</w:t>
      </w:r>
      <w:r>
        <w:rPr>
          <w:rFonts w:ascii="Garamond" w:hAnsi="Garamond"/>
          <w:bCs/>
          <w:sz w:val="28"/>
          <w:szCs w:val="28"/>
        </w:rPr>
        <w:t>ículo</w:t>
      </w:r>
      <w:r w:rsidRPr="000C1FAD">
        <w:rPr>
          <w:rFonts w:ascii="Garamond" w:hAnsi="Garamond"/>
          <w:bCs/>
          <w:sz w:val="28"/>
          <w:szCs w:val="28"/>
        </w:rPr>
        <w:t xml:space="preserve"> 3.15ª del EOMF atribuye al Ministerio Fiscal la función de promover o, en su caso, prestar, el auxilio judicial internacional previsto en las leyes, tratados y convenios internacionales. La importancia de esta misión ha llevado a la creación de secciones especializadas de cooperación jurídica internacional en todas las Fiscalías territoriales, coordinadas por un Fiscal de Sala.</w:t>
      </w:r>
    </w:p>
    <w:p w14:paraId="02525EE7" w14:textId="77777777" w:rsidR="008E3DA3" w:rsidRDefault="008E3DA3" w:rsidP="008E3DA3">
      <w:pPr>
        <w:spacing w:line="276" w:lineRule="auto"/>
        <w:ind w:firstLine="708"/>
        <w:jc w:val="both"/>
        <w:rPr>
          <w:rFonts w:ascii="Garamond" w:hAnsi="Garamond"/>
          <w:bCs/>
          <w:sz w:val="28"/>
          <w:szCs w:val="28"/>
        </w:rPr>
      </w:pPr>
    </w:p>
    <w:p w14:paraId="2D0F7E70" w14:textId="77777777" w:rsidR="008E3DA3" w:rsidRPr="00784C9C" w:rsidRDefault="008E3DA3" w:rsidP="008E3DA3">
      <w:pPr>
        <w:spacing w:line="276" w:lineRule="auto"/>
        <w:ind w:left="284" w:right="282" w:firstLine="708"/>
        <w:jc w:val="both"/>
        <w:rPr>
          <w:rFonts w:ascii="Garamond" w:hAnsi="Garamond"/>
          <w:bCs/>
          <w:sz w:val="36"/>
          <w:szCs w:val="28"/>
        </w:rPr>
      </w:pPr>
      <w:r>
        <w:rPr>
          <w:rFonts w:ascii="Garamond" w:hAnsi="Garamond"/>
          <w:szCs w:val="20"/>
        </w:rPr>
        <w:t>L</w:t>
      </w:r>
      <w:r w:rsidRPr="00784C9C">
        <w:rPr>
          <w:rFonts w:ascii="Garamond" w:hAnsi="Garamond"/>
          <w:szCs w:val="20"/>
        </w:rPr>
        <w:t>a Instrucción de la FGE 3/2001, de 28 de junio, sobre los actuales mecanismos y modalidades de asistencia judicial internacional en materia penal</w:t>
      </w:r>
      <w:r>
        <w:rPr>
          <w:rFonts w:ascii="Garamond" w:hAnsi="Garamond"/>
          <w:szCs w:val="20"/>
        </w:rPr>
        <w:t xml:space="preserve">, </w:t>
      </w:r>
      <w:r w:rsidRPr="00784C9C">
        <w:rPr>
          <w:rFonts w:ascii="Garamond" w:hAnsi="Garamond"/>
          <w:szCs w:val="20"/>
        </w:rPr>
        <w:t xml:space="preserve">hace una sucinta exposición de las normas que regulan la cooperación judicial en materia penal, a fin de que los miembros del Ministerio Fiscal acomoden a ellas su actuación en este ámbito. </w:t>
      </w:r>
      <w:r>
        <w:rPr>
          <w:rFonts w:ascii="Garamond" w:hAnsi="Garamond"/>
          <w:szCs w:val="20"/>
        </w:rPr>
        <w:t>D</w:t>
      </w:r>
      <w:r w:rsidRPr="00784C9C">
        <w:rPr>
          <w:rFonts w:ascii="Garamond" w:hAnsi="Garamond"/>
          <w:szCs w:val="20"/>
        </w:rPr>
        <w:t>esarrollan el art</w:t>
      </w:r>
      <w:r>
        <w:rPr>
          <w:rFonts w:ascii="Garamond" w:hAnsi="Garamond"/>
          <w:szCs w:val="20"/>
        </w:rPr>
        <w:t xml:space="preserve">ículo </w:t>
      </w:r>
      <w:r w:rsidRPr="00784C9C">
        <w:rPr>
          <w:rFonts w:ascii="Garamond" w:hAnsi="Garamond"/>
          <w:szCs w:val="20"/>
        </w:rPr>
        <w:t xml:space="preserve">3.15 del EOMF la Instrucción 2/2003, de 11 de julio, sobre actuación y organización de las Fiscalías en materia de cooperación jurídica internacional, y la </w:t>
      </w:r>
      <w:r w:rsidRPr="00784C9C">
        <w:rPr>
          <w:rFonts w:ascii="Garamond" w:hAnsi="Garamond" w:cs="TimesNewRomanPS-BoldMT"/>
          <w:szCs w:val="20"/>
        </w:rPr>
        <w:t>Instrucción 1/2011, de 9 de marzo, sobre las funciones y facultades del Fiscal de Sala Coordinador de cooperación penal internacional.</w:t>
      </w:r>
    </w:p>
    <w:p w14:paraId="46726335" w14:textId="77777777" w:rsidR="008E3DA3" w:rsidRPr="000C1FAD" w:rsidRDefault="008E3DA3" w:rsidP="008E3DA3">
      <w:pPr>
        <w:spacing w:line="276" w:lineRule="auto"/>
        <w:ind w:firstLine="708"/>
        <w:jc w:val="both"/>
        <w:rPr>
          <w:rFonts w:ascii="Garamond" w:hAnsi="Garamond"/>
          <w:bCs/>
          <w:sz w:val="28"/>
          <w:szCs w:val="28"/>
        </w:rPr>
      </w:pPr>
    </w:p>
    <w:p w14:paraId="2D54D4E7"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 xml:space="preserve">La forma más tradicional de cooperación internacional es la extradición, hasta el punto de que en la concepción clásica integra la llamada “asistencia mayor”, frente a la “asistencia menor” que comprendería las citaciones, emplazamientos y notificaciones. La extradición, en un concepto que </w:t>
      </w:r>
      <w:r w:rsidRPr="000C1FAD">
        <w:rPr>
          <w:rFonts w:ascii="Garamond" w:hAnsi="Garamond"/>
          <w:bCs/>
          <w:sz w:val="28"/>
          <w:szCs w:val="28"/>
        </w:rPr>
        <w:lastRenderedPageBreak/>
        <w:t>comprende tanto la activa como la pasiva, es definida como el conjunto de actuaciones a través de las cuales las autoridades de un Estado en cuyo territorio se ha refugiado una persona entregan a ésta a las autoridades de otro Estado que la reclama por razón de delito, bien para ser juzgado, bien para ejecutar una pena o medida de seguridad si ya fue condenado.</w:t>
      </w:r>
    </w:p>
    <w:p w14:paraId="2A7863EE" w14:textId="77777777" w:rsidR="008E3DA3" w:rsidRDefault="008E3DA3" w:rsidP="008E3DA3">
      <w:pPr>
        <w:spacing w:line="276" w:lineRule="auto"/>
        <w:ind w:firstLine="708"/>
        <w:jc w:val="both"/>
        <w:rPr>
          <w:rFonts w:ascii="Garamond" w:hAnsi="Garamond"/>
          <w:bCs/>
          <w:sz w:val="28"/>
          <w:szCs w:val="28"/>
        </w:rPr>
      </w:pPr>
    </w:p>
    <w:p w14:paraId="679E7C46" w14:textId="77777777" w:rsidR="008E3DA3" w:rsidRPr="000D284D" w:rsidRDefault="008E3DA3" w:rsidP="008E3DA3">
      <w:pPr>
        <w:spacing w:line="276" w:lineRule="auto"/>
        <w:ind w:left="284" w:right="282" w:firstLine="708"/>
        <w:jc w:val="both"/>
        <w:rPr>
          <w:rFonts w:ascii="Garamond" w:hAnsi="Garamond"/>
          <w:bCs/>
          <w:sz w:val="28"/>
          <w:szCs w:val="28"/>
        </w:rPr>
      </w:pPr>
      <w:r w:rsidRPr="000D284D">
        <w:rPr>
          <w:rFonts w:ascii="Garamond" w:hAnsi="Garamond"/>
          <w:bCs/>
        </w:rPr>
        <w:t>Se habla también de extradición en tránsito, que es la autorización que se concede para el paso de la persona cuya extradición ha sido acordada por otro Estado para la entrega a un tercero, y una re-extradición, en la que el Estado que ya ha obtenido la extradición entrega, a su vez, al delincuente a un tercer Estado, con el consentimiento del Estado que lo extraditó en primer lugar.</w:t>
      </w:r>
    </w:p>
    <w:p w14:paraId="461268F7" w14:textId="77777777" w:rsidR="008E3DA3" w:rsidRPr="000C1FAD" w:rsidRDefault="008E3DA3" w:rsidP="008E3DA3">
      <w:pPr>
        <w:spacing w:line="276" w:lineRule="auto"/>
        <w:ind w:firstLine="708"/>
        <w:jc w:val="both"/>
        <w:rPr>
          <w:rFonts w:ascii="Garamond" w:hAnsi="Garamond"/>
          <w:bCs/>
          <w:sz w:val="28"/>
          <w:szCs w:val="28"/>
        </w:rPr>
      </w:pPr>
    </w:p>
    <w:p w14:paraId="4B5195E9"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 xml:space="preserve">La </w:t>
      </w:r>
      <w:r w:rsidRPr="000C1FAD">
        <w:rPr>
          <w:rFonts w:ascii="Garamond" w:hAnsi="Garamond"/>
          <w:sz w:val="28"/>
          <w:szCs w:val="28"/>
        </w:rPr>
        <w:t>extradición activa</w:t>
      </w:r>
      <w:r w:rsidRPr="000C1FAD">
        <w:rPr>
          <w:rFonts w:ascii="Garamond" w:hAnsi="Garamond"/>
          <w:bCs/>
          <w:sz w:val="28"/>
          <w:szCs w:val="28"/>
        </w:rPr>
        <w:t xml:space="preserve"> se estudia en el tema VII a propósito de la ausencia del investigado, a</w:t>
      </w:r>
      <w:r w:rsidRPr="000C1FAD">
        <w:rPr>
          <w:rFonts w:ascii="Garamond" w:hAnsi="Garamond"/>
          <w:sz w:val="28"/>
          <w:szCs w:val="28"/>
        </w:rPr>
        <w:t xml:space="preserve"> la ext</w:t>
      </w:r>
      <w:r w:rsidRPr="000C1FAD">
        <w:rPr>
          <w:rFonts w:ascii="Garamond" w:hAnsi="Garamond"/>
          <w:bCs/>
          <w:sz w:val="28"/>
          <w:szCs w:val="28"/>
        </w:rPr>
        <w:t>radición pasiva nos referiremos al final del tema al tratar el Convenio Europeo de Extradición.</w:t>
      </w:r>
    </w:p>
    <w:p w14:paraId="13F0DEBE" w14:textId="77777777" w:rsidR="008E3DA3" w:rsidRPr="000C1FAD" w:rsidRDefault="008E3DA3" w:rsidP="008E3DA3">
      <w:pPr>
        <w:spacing w:line="276" w:lineRule="auto"/>
        <w:ind w:firstLine="708"/>
        <w:jc w:val="both"/>
        <w:rPr>
          <w:rFonts w:ascii="Garamond" w:hAnsi="Garamond"/>
          <w:bCs/>
          <w:sz w:val="28"/>
          <w:szCs w:val="28"/>
        </w:rPr>
      </w:pPr>
    </w:p>
    <w:p w14:paraId="1A9DE35C" w14:textId="77777777" w:rsidR="008E3DA3" w:rsidRPr="000C1FAD" w:rsidRDefault="008E3DA3" w:rsidP="008E3DA3">
      <w:pPr>
        <w:spacing w:line="276" w:lineRule="auto"/>
        <w:ind w:firstLine="708"/>
        <w:jc w:val="both"/>
        <w:rPr>
          <w:rFonts w:ascii="Garamond" w:hAnsi="Garamond"/>
          <w:bCs/>
          <w:sz w:val="28"/>
          <w:szCs w:val="28"/>
        </w:rPr>
      </w:pPr>
    </w:p>
    <w:p w14:paraId="36280D13" w14:textId="77777777" w:rsidR="008E3DA3" w:rsidRDefault="008E3DA3" w:rsidP="008E3DA3">
      <w:pPr>
        <w:spacing w:line="276" w:lineRule="auto"/>
        <w:jc w:val="both"/>
        <w:rPr>
          <w:rFonts w:ascii="Garamond" w:hAnsi="Garamond"/>
          <w:sz w:val="28"/>
          <w:szCs w:val="28"/>
        </w:rPr>
      </w:pPr>
      <w:r w:rsidRPr="000C1FAD">
        <w:rPr>
          <w:rFonts w:ascii="Garamond" w:hAnsi="Garamond"/>
          <w:sz w:val="28"/>
          <w:szCs w:val="28"/>
        </w:rPr>
        <w:t>II.</w:t>
      </w:r>
      <w:r w:rsidRPr="000C1FAD">
        <w:rPr>
          <w:rFonts w:ascii="Garamond" w:hAnsi="Garamond"/>
          <w:sz w:val="28"/>
          <w:szCs w:val="28"/>
        </w:rPr>
        <w:tab/>
        <w:t xml:space="preserve">INSTRUMENTOS BILATERALES Y MULTILATERALES DE COOPERACIÓN JUDICIAL PENAL </w:t>
      </w:r>
    </w:p>
    <w:p w14:paraId="398A64C6" w14:textId="77777777" w:rsidR="008E3DA3" w:rsidRPr="000C1FAD" w:rsidRDefault="008E3DA3" w:rsidP="008E3DA3">
      <w:pPr>
        <w:spacing w:line="276" w:lineRule="auto"/>
        <w:jc w:val="both"/>
        <w:rPr>
          <w:rFonts w:ascii="Garamond" w:hAnsi="Garamond"/>
          <w:sz w:val="28"/>
          <w:szCs w:val="28"/>
        </w:rPr>
      </w:pPr>
    </w:p>
    <w:p w14:paraId="0D48D5BA" w14:textId="77777777" w:rsidR="008E3DA3" w:rsidRDefault="008E3DA3" w:rsidP="008E3DA3">
      <w:pPr>
        <w:spacing w:line="276" w:lineRule="auto"/>
        <w:jc w:val="both"/>
        <w:rPr>
          <w:rFonts w:ascii="Garamond" w:hAnsi="Garamond"/>
          <w:bCs/>
          <w:sz w:val="28"/>
          <w:szCs w:val="28"/>
        </w:rPr>
      </w:pPr>
      <w:r w:rsidRPr="000C1FAD">
        <w:rPr>
          <w:rFonts w:ascii="Garamond" w:hAnsi="Garamond"/>
          <w:bCs/>
          <w:sz w:val="28"/>
          <w:szCs w:val="28"/>
        </w:rPr>
        <w:tab/>
        <w:t>Junto a las normas de derecho interno que acabamos de examinar, el grueso de la regulación en materia de cooperación jurídica internacional está constituido por normas de Derecho internacional, que surgen para hacer frente a nuevas formas de delincuencia transnacional, como el terrorismo, el narcotráfico, la trata de seres humanos y el crimen organizado, lo que obliga a los Estados a explorar vías de cooperación que se traducen en Convenios y Tratados no sólo multilaterales, sino también bilaterales.</w:t>
      </w:r>
    </w:p>
    <w:p w14:paraId="3E3BF339" w14:textId="77777777" w:rsidR="008E3DA3" w:rsidRPr="000C1FAD" w:rsidRDefault="008E3DA3" w:rsidP="008E3DA3">
      <w:pPr>
        <w:spacing w:line="276" w:lineRule="auto"/>
        <w:jc w:val="both"/>
        <w:rPr>
          <w:rFonts w:ascii="Garamond" w:hAnsi="Garamond"/>
          <w:bCs/>
          <w:sz w:val="28"/>
          <w:szCs w:val="28"/>
        </w:rPr>
      </w:pPr>
    </w:p>
    <w:p w14:paraId="1CEEA375" w14:textId="77777777" w:rsidR="008E3DA3" w:rsidRPr="000C1FAD" w:rsidRDefault="008E3DA3" w:rsidP="008E3DA3">
      <w:pPr>
        <w:spacing w:line="276" w:lineRule="auto"/>
        <w:ind w:firstLine="708"/>
        <w:jc w:val="both"/>
        <w:rPr>
          <w:rFonts w:ascii="Garamond" w:hAnsi="Garamond"/>
          <w:bCs/>
          <w:sz w:val="28"/>
          <w:szCs w:val="28"/>
        </w:rPr>
      </w:pPr>
      <w:r>
        <w:rPr>
          <w:rFonts w:ascii="Garamond" w:hAnsi="Garamond"/>
          <w:bCs/>
          <w:sz w:val="28"/>
          <w:szCs w:val="28"/>
        </w:rPr>
        <w:t xml:space="preserve">A) </w:t>
      </w:r>
      <w:r w:rsidRPr="000C1FAD">
        <w:rPr>
          <w:rFonts w:ascii="Garamond" w:hAnsi="Garamond"/>
          <w:bCs/>
          <w:sz w:val="28"/>
          <w:szCs w:val="28"/>
        </w:rPr>
        <w:t>España tiene suscritos numerosos tratados bilaterales en materia de extradición, asistencia penal y transmisión de procedimientos y personas condenadas, lucha contra la delincuencia organizada y aplicación de la justicia universal</w:t>
      </w:r>
      <w:r>
        <w:rPr>
          <w:rFonts w:ascii="Garamond" w:hAnsi="Garamond"/>
          <w:bCs/>
          <w:sz w:val="28"/>
          <w:szCs w:val="28"/>
        </w:rPr>
        <w:t>, cuya sola enumeración desbordaría los límites de esta exposición</w:t>
      </w:r>
      <w:r w:rsidRPr="000C1FAD">
        <w:rPr>
          <w:rFonts w:ascii="Garamond" w:hAnsi="Garamond"/>
          <w:bCs/>
          <w:sz w:val="28"/>
          <w:szCs w:val="28"/>
        </w:rPr>
        <w:t xml:space="preserve">. </w:t>
      </w:r>
    </w:p>
    <w:p w14:paraId="0A017981"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Además, dentro de los instrumentos bilaterales cabe incluir los Acuerdos entre la Unión Europea y terceros Estados y organizaciones internacionales sobre cuestiones relativas a la Política Exterior y Seguridad Común.</w:t>
      </w:r>
    </w:p>
    <w:p w14:paraId="759EED9A"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De estos acuerdos destacamos:</w:t>
      </w:r>
    </w:p>
    <w:p w14:paraId="6D0E1F6F" w14:textId="77777777" w:rsidR="008E3DA3" w:rsidRPr="000C1FAD" w:rsidRDefault="008E3DA3" w:rsidP="008E3DA3">
      <w:pPr>
        <w:spacing w:line="276" w:lineRule="auto"/>
        <w:ind w:firstLine="708"/>
        <w:jc w:val="both"/>
        <w:rPr>
          <w:rFonts w:ascii="Garamond" w:hAnsi="Garamond"/>
          <w:bCs/>
          <w:sz w:val="28"/>
          <w:szCs w:val="28"/>
        </w:rPr>
      </w:pPr>
      <w:r>
        <w:rPr>
          <w:rFonts w:ascii="Garamond" w:hAnsi="Garamond"/>
          <w:bCs/>
          <w:sz w:val="28"/>
          <w:szCs w:val="28"/>
        </w:rPr>
        <w:tab/>
      </w:r>
    </w:p>
    <w:p w14:paraId="51D8D424"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-El Convenio de la U</w:t>
      </w:r>
      <w:r>
        <w:rPr>
          <w:rFonts w:ascii="Garamond" w:hAnsi="Garamond"/>
          <w:bCs/>
          <w:sz w:val="28"/>
          <w:szCs w:val="28"/>
        </w:rPr>
        <w:t xml:space="preserve">nión </w:t>
      </w:r>
      <w:r w:rsidRPr="000C1FAD">
        <w:rPr>
          <w:rFonts w:ascii="Garamond" w:hAnsi="Garamond"/>
          <w:bCs/>
          <w:sz w:val="28"/>
          <w:szCs w:val="28"/>
        </w:rPr>
        <w:t>E</w:t>
      </w:r>
      <w:r>
        <w:rPr>
          <w:rFonts w:ascii="Garamond" w:hAnsi="Garamond"/>
          <w:bCs/>
          <w:sz w:val="28"/>
          <w:szCs w:val="28"/>
        </w:rPr>
        <w:t>uropea</w:t>
      </w:r>
      <w:r w:rsidRPr="000C1FAD">
        <w:rPr>
          <w:rFonts w:ascii="Garamond" w:hAnsi="Garamond"/>
          <w:bCs/>
          <w:sz w:val="28"/>
          <w:szCs w:val="28"/>
        </w:rPr>
        <w:t xml:space="preserve"> con Estados Unidos de 2003, cuya particularidad es que no introduce un cuerpo normativo autónomo, sino que de </w:t>
      </w:r>
      <w:r w:rsidRPr="000C1FAD">
        <w:rPr>
          <w:rFonts w:ascii="Garamond" w:hAnsi="Garamond"/>
          <w:bCs/>
          <w:sz w:val="28"/>
          <w:szCs w:val="28"/>
        </w:rPr>
        <w:lastRenderedPageBreak/>
        <w:t>manera indirecta garantiza una regulación homogénea y reforzada a través de los tratados existentes con cada uno de los Estados miembros.</w:t>
      </w:r>
    </w:p>
    <w:p w14:paraId="064F5BCC"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-El Acuerdo de Cooperación y Asistencia de la U</w:t>
      </w:r>
      <w:r>
        <w:rPr>
          <w:rFonts w:ascii="Garamond" w:hAnsi="Garamond"/>
          <w:bCs/>
          <w:sz w:val="28"/>
          <w:szCs w:val="28"/>
        </w:rPr>
        <w:t xml:space="preserve">nión </w:t>
      </w:r>
      <w:r w:rsidRPr="000C1FAD">
        <w:rPr>
          <w:rFonts w:ascii="Garamond" w:hAnsi="Garamond"/>
          <w:bCs/>
          <w:sz w:val="28"/>
          <w:szCs w:val="28"/>
        </w:rPr>
        <w:t>E</w:t>
      </w:r>
      <w:r>
        <w:rPr>
          <w:rFonts w:ascii="Garamond" w:hAnsi="Garamond"/>
          <w:bCs/>
          <w:sz w:val="28"/>
          <w:szCs w:val="28"/>
        </w:rPr>
        <w:t>uropea</w:t>
      </w:r>
      <w:r w:rsidRPr="000C1FAD">
        <w:rPr>
          <w:rFonts w:ascii="Garamond" w:hAnsi="Garamond"/>
          <w:bCs/>
          <w:sz w:val="28"/>
          <w:szCs w:val="28"/>
        </w:rPr>
        <w:t xml:space="preserve"> con la Corte Penal Internacional de 2006.</w:t>
      </w:r>
    </w:p>
    <w:p w14:paraId="2D81581C" w14:textId="77777777" w:rsidR="008E3DA3" w:rsidRDefault="008E3DA3" w:rsidP="008E3DA3">
      <w:pPr>
        <w:spacing w:line="276" w:lineRule="auto"/>
        <w:ind w:firstLine="708"/>
        <w:jc w:val="both"/>
        <w:rPr>
          <w:rFonts w:ascii="Garamond" w:hAnsi="Garamond"/>
          <w:bCs/>
          <w:sz w:val="28"/>
          <w:szCs w:val="28"/>
        </w:rPr>
      </w:pPr>
    </w:p>
    <w:p w14:paraId="561DEA16" w14:textId="77777777" w:rsidR="008E3DA3" w:rsidRDefault="008E3DA3" w:rsidP="008E3DA3">
      <w:pPr>
        <w:spacing w:line="276" w:lineRule="auto"/>
        <w:ind w:firstLine="708"/>
        <w:jc w:val="both"/>
        <w:rPr>
          <w:rFonts w:ascii="Garamond" w:hAnsi="Garamond"/>
          <w:bCs/>
          <w:sz w:val="28"/>
          <w:szCs w:val="28"/>
        </w:rPr>
      </w:pPr>
      <w:r>
        <w:rPr>
          <w:rFonts w:ascii="Garamond" w:hAnsi="Garamond"/>
          <w:bCs/>
          <w:sz w:val="28"/>
          <w:szCs w:val="28"/>
        </w:rPr>
        <w:t xml:space="preserve">B) </w:t>
      </w:r>
      <w:r w:rsidRPr="000C1FAD">
        <w:rPr>
          <w:rFonts w:ascii="Garamond" w:hAnsi="Garamond"/>
          <w:bCs/>
          <w:sz w:val="28"/>
          <w:szCs w:val="28"/>
        </w:rPr>
        <w:t>Entre los instrumentos multilaterales de cooperación judicial penal hay que diferenciar, de un lado, los celebrados en el marco de la O</w:t>
      </w:r>
      <w:r>
        <w:rPr>
          <w:rFonts w:ascii="Garamond" w:hAnsi="Garamond"/>
          <w:bCs/>
          <w:sz w:val="28"/>
          <w:szCs w:val="28"/>
        </w:rPr>
        <w:t xml:space="preserve">rganización de </w:t>
      </w:r>
      <w:r w:rsidRPr="000C1FAD">
        <w:rPr>
          <w:rFonts w:ascii="Garamond" w:hAnsi="Garamond"/>
          <w:bCs/>
          <w:sz w:val="28"/>
          <w:szCs w:val="28"/>
        </w:rPr>
        <w:t>N</w:t>
      </w:r>
      <w:r>
        <w:rPr>
          <w:rFonts w:ascii="Garamond" w:hAnsi="Garamond"/>
          <w:bCs/>
          <w:sz w:val="28"/>
          <w:szCs w:val="28"/>
        </w:rPr>
        <w:t xml:space="preserve">aciones </w:t>
      </w:r>
      <w:r w:rsidRPr="000C1FAD">
        <w:rPr>
          <w:rFonts w:ascii="Garamond" w:hAnsi="Garamond"/>
          <w:bCs/>
          <w:sz w:val="28"/>
          <w:szCs w:val="28"/>
        </w:rPr>
        <w:t>U</w:t>
      </w:r>
      <w:r>
        <w:rPr>
          <w:rFonts w:ascii="Garamond" w:hAnsi="Garamond"/>
          <w:bCs/>
          <w:sz w:val="28"/>
          <w:szCs w:val="28"/>
        </w:rPr>
        <w:t>nidas</w:t>
      </w:r>
      <w:r w:rsidRPr="000C1FAD">
        <w:rPr>
          <w:rFonts w:ascii="Garamond" w:hAnsi="Garamond"/>
          <w:bCs/>
          <w:sz w:val="28"/>
          <w:szCs w:val="28"/>
        </w:rPr>
        <w:t>, y, de otro, los celebrados en el seno del Consejo de Europa.</w:t>
      </w:r>
      <w:r>
        <w:rPr>
          <w:rFonts w:ascii="Garamond" w:hAnsi="Garamond"/>
          <w:bCs/>
          <w:sz w:val="28"/>
          <w:szCs w:val="28"/>
        </w:rPr>
        <w:t xml:space="preserve"> Pero </w:t>
      </w:r>
      <w:r w:rsidRPr="000C1FAD">
        <w:rPr>
          <w:rFonts w:ascii="Garamond" w:hAnsi="Garamond"/>
          <w:bCs/>
          <w:sz w:val="28"/>
          <w:szCs w:val="28"/>
        </w:rPr>
        <w:t>es en el ámbito de la U</w:t>
      </w:r>
      <w:r>
        <w:rPr>
          <w:rFonts w:ascii="Garamond" w:hAnsi="Garamond"/>
          <w:bCs/>
          <w:sz w:val="28"/>
          <w:szCs w:val="28"/>
        </w:rPr>
        <w:t xml:space="preserve">nión </w:t>
      </w:r>
      <w:r w:rsidRPr="000C1FAD">
        <w:rPr>
          <w:rFonts w:ascii="Garamond" w:hAnsi="Garamond"/>
          <w:bCs/>
          <w:sz w:val="28"/>
          <w:szCs w:val="28"/>
        </w:rPr>
        <w:t>E</w:t>
      </w:r>
      <w:r>
        <w:rPr>
          <w:rFonts w:ascii="Garamond" w:hAnsi="Garamond"/>
          <w:bCs/>
          <w:sz w:val="28"/>
          <w:szCs w:val="28"/>
        </w:rPr>
        <w:t>uropea</w:t>
      </w:r>
      <w:r w:rsidRPr="000C1FAD">
        <w:rPr>
          <w:rFonts w:ascii="Garamond" w:hAnsi="Garamond"/>
          <w:bCs/>
          <w:sz w:val="28"/>
          <w:szCs w:val="28"/>
        </w:rPr>
        <w:t xml:space="preserve"> donde se ha producido el mayor desarrollo de la cooperación judicial, en especial después del Tratado de Ámsterdam, que contempla la creación de un espacio de libertad, seguridad y justicia, conforme a los principios de reconocimiento mutuo y confianza recíproca.</w:t>
      </w:r>
    </w:p>
    <w:p w14:paraId="54AA2582" w14:textId="77777777" w:rsidR="008E3DA3" w:rsidRDefault="008E3DA3" w:rsidP="008E3DA3">
      <w:pPr>
        <w:spacing w:line="276" w:lineRule="auto"/>
        <w:ind w:firstLine="708"/>
        <w:jc w:val="both"/>
        <w:rPr>
          <w:rFonts w:ascii="Garamond" w:hAnsi="Garamond"/>
          <w:bCs/>
          <w:sz w:val="28"/>
          <w:szCs w:val="28"/>
        </w:rPr>
      </w:pPr>
      <w:r>
        <w:rPr>
          <w:rFonts w:ascii="Garamond" w:hAnsi="Garamond"/>
          <w:bCs/>
          <w:sz w:val="28"/>
          <w:szCs w:val="28"/>
        </w:rPr>
        <w:t>Como quiera que los tratados del Consejo de Europa serán examinados al final del tema y que la cooperación judicial en el marco de la Unión Europea se estudia en el tema 39, nos detendremos ahora únicamente en los tratados multilaterales de la Organización de las Naciones Unidas.</w:t>
      </w:r>
    </w:p>
    <w:p w14:paraId="1E6DCC10" w14:textId="77777777" w:rsidR="008E3DA3" w:rsidRDefault="008E3DA3" w:rsidP="008E3DA3">
      <w:pPr>
        <w:spacing w:line="276" w:lineRule="auto"/>
        <w:ind w:firstLine="708"/>
        <w:jc w:val="both"/>
        <w:rPr>
          <w:rFonts w:ascii="Garamond" w:hAnsi="Garamond"/>
          <w:bCs/>
          <w:sz w:val="28"/>
          <w:szCs w:val="28"/>
        </w:rPr>
      </w:pPr>
    </w:p>
    <w:p w14:paraId="753A4180" w14:textId="77777777" w:rsidR="008E3DA3" w:rsidRDefault="008E3DA3" w:rsidP="008E3DA3">
      <w:pPr>
        <w:autoSpaceDE w:val="0"/>
        <w:autoSpaceDN w:val="0"/>
        <w:adjustRightInd w:val="0"/>
        <w:spacing w:line="276" w:lineRule="auto"/>
        <w:ind w:left="284" w:right="282"/>
        <w:jc w:val="both"/>
        <w:rPr>
          <w:rFonts w:ascii="Garamond" w:hAnsi="Garamond" w:cs="Arial"/>
          <w:szCs w:val="28"/>
        </w:rPr>
      </w:pPr>
      <w:r w:rsidRPr="00930B8D">
        <w:rPr>
          <w:rFonts w:ascii="Garamond" w:hAnsi="Garamond" w:cs="Arial"/>
          <w:sz w:val="28"/>
          <w:szCs w:val="28"/>
        </w:rPr>
        <w:tab/>
      </w:r>
      <w:r w:rsidRPr="00784C9C">
        <w:rPr>
          <w:rFonts w:ascii="Garamond" w:hAnsi="Garamond" w:cs="Arial"/>
          <w:szCs w:val="28"/>
        </w:rPr>
        <w:t>La ONU es una organización internacional “con vocación de universalidad”, establecida en la Carta de las Naciones Unidas con fines generales, en los que predominan los relativos a la paz y seguridad internacionales, de ahí que el desarrollo de las políticas sobre cooperación judicial internacional en materia penal se encuentre íntimamente relacionado con su actividad.</w:t>
      </w:r>
    </w:p>
    <w:p w14:paraId="56EFB479" w14:textId="77777777" w:rsidR="008E3DA3" w:rsidRPr="00930B8D" w:rsidRDefault="008E3DA3" w:rsidP="008E3DA3">
      <w:pPr>
        <w:autoSpaceDE w:val="0"/>
        <w:autoSpaceDN w:val="0"/>
        <w:adjustRightInd w:val="0"/>
        <w:spacing w:line="276" w:lineRule="auto"/>
        <w:ind w:left="284" w:right="282"/>
        <w:jc w:val="both"/>
        <w:rPr>
          <w:rFonts w:ascii="Garamond" w:hAnsi="Garamond" w:cs="Arial"/>
          <w:sz w:val="28"/>
          <w:szCs w:val="28"/>
        </w:rPr>
      </w:pPr>
    </w:p>
    <w:p w14:paraId="44EB723A" w14:textId="77777777" w:rsidR="008E3DA3" w:rsidRPr="00930B8D" w:rsidRDefault="008E3DA3" w:rsidP="008E3DA3">
      <w:pPr>
        <w:autoSpaceDE w:val="0"/>
        <w:autoSpaceDN w:val="0"/>
        <w:adjustRightInd w:val="0"/>
        <w:spacing w:line="276" w:lineRule="auto"/>
        <w:jc w:val="both"/>
        <w:rPr>
          <w:rFonts w:ascii="Garamond" w:hAnsi="Garamond" w:cs="Arial"/>
          <w:sz w:val="28"/>
          <w:szCs w:val="28"/>
        </w:rPr>
      </w:pPr>
      <w:r w:rsidRPr="00930B8D">
        <w:rPr>
          <w:rFonts w:ascii="Garamond" w:hAnsi="Garamond" w:cs="Arial"/>
          <w:sz w:val="28"/>
          <w:szCs w:val="28"/>
        </w:rPr>
        <w:tab/>
        <w:t>En el seno de la ONU se ha aprobado un importante número de actos normativos, principalmente convenios multilaterales, aunque también declaraciones, resoluciones y recomendaciones, cuyo objetivo es combatir las manifestaciones más graves de la delincuencia organizada. A tal fin, la ONU ha impulsado el desarrollo de políticas de cooperación en cada uno de sus convenios.</w:t>
      </w:r>
    </w:p>
    <w:p w14:paraId="178A06F8" w14:textId="77777777" w:rsidR="008E3DA3" w:rsidRDefault="008E3DA3" w:rsidP="008E3DA3">
      <w:pPr>
        <w:autoSpaceDE w:val="0"/>
        <w:autoSpaceDN w:val="0"/>
        <w:adjustRightInd w:val="0"/>
        <w:spacing w:line="276" w:lineRule="auto"/>
        <w:jc w:val="both"/>
        <w:rPr>
          <w:rFonts w:ascii="Garamond" w:hAnsi="Garamond" w:cs="Arial"/>
          <w:sz w:val="28"/>
          <w:szCs w:val="28"/>
        </w:rPr>
      </w:pPr>
      <w:r w:rsidRPr="00930B8D">
        <w:rPr>
          <w:rFonts w:ascii="Garamond" w:hAnsi="Garamond" w:cs="Arial"/>
          <w:sz w:val="28"/>
          <w:szCs w:val="28"/>
        </w:rPr>
        <w:tab/>
        <w:t>Por otra parte, una de las grandes preocupaciones de la ONU ha sido la persecución y castigo de los responsables de violaciones graves y masivas de derechos humanos fundamentales y de los principios básicos del Derecho Internacional Humanitario. Para ello, se han seguido diversas vías:</w:t>
      </w:r>
    </w:p>
    <w:p w14:paraId="253A2127" w14:textId="77777777" w:rsidR="008E3DA3" w:rsidRPr="00930B8D" w:rsidRDefault="008E3DA3" w:rsidP="008E3DA3">
      <w:pPr>
        <w:autoSpaceDE w:val="0"/>
        <w:autoSpaceDN w:val="0"/>
        <w:adjustRightInd w:val="0"/>
        <w:spacing w:line="276" w:lineRule="auto"/>
        <w:jc w:val="both"/>
        <w:rPr>
          <w:rFonts w:ascii="Garamond" w:hAnsi="Garamond" w:cs="Arial"/>
          <w:sz w:val="28"/>
          <w:szCs w:val="28"/>
        </w:rPr>
      </w:pPr>
    </w:p>
    <w:p w14:paraId="42168C77" w14:textId="77777777" w:rsidR="008E3DA3" w:rsidRDefault="008E3DA3" w:rsidP="008E3DA3">
      <w:pPr>
        <w:autoSpaceDE w:val="0"/>
        <w:autoSpaceDN w:val="0"/>
        <w:adjustRightInd w:val="0"/>
        <w:spacing w:line="276" w:lineRule="auto"/>
        <w:jc w:val="both"/>
        <w:rPr>
          <w:rFonts w:ascii="Garamond" w:hAnsi="Garamond" w:cs="Arial"/>
          <w:sz w:val="28"/>
          <w:szCs w:val="28"/>
        </w:rPr>
      </w:pPr>
      <w:r w:rsidRPr="00930B8D">
        <w:rPr>
          <w:rFonts w:ascii="Garamond" w:hAnsi="Garamond" w:cs="SymbolMT"/>
          <w:sz w:val="28"/>
          <w:szCs w:val="28"/>
        </w:rPr>
        <w:tab/>
      </w:r>
      <w:r>
        <w:rPr>
          <w:rFonts w:ascii="Garamond" w:hAnsi="Garamond" w:cs="SymbolMT"/>
          <w:sz w:val="28"/>
          <w:szCs w:val="28"/>
        </w:rPr>
        <w:tab/>
        <w:t>-</w:t>
      </w:r>
      <w:r w:rsidRPr="00930B8D">
        <w:rPr>
          <w:rFonts w:ascii="Garamond" w:hAnsi="Garamond" w:cs="Arial"/>
          <w:sz w:val="28"/>
          <w:szCs w:val="28"/>
        </w:rPr>
        <w:t xml:space="preserve">Por una parte, la expansión del ámbito de </w:t>
      </w:r>
      <w:r>
        <w:rPr>
          <w:rFonts w:ascii="Garamond" w:hAnsi="Garamond" w:cs="Arial"/>
          <w:sz w:val="28"/>
          <w:szCs w:val="28"/>
        </w:rPr>
        <w:t xml:space="preserve">la </w:t>
      </w:r>
      <w:r w:rsidRPr="00930B8D">
        <w:rPr>
          <w:rFonts w:ascii="Garamond" w:hAnsi="Garamond" w:cs="Arial"/>
          <w:sz w:val="28"/>
          <w:szCs w:val="28"/>
        </w:rPr>
        <w:t>jurisdicción penal de los Estados respecto de los delitos contra la comunidad internacional y el derecho de gentes</w:t>
      </w:r>
      <w:r>
        <w:rPr>
          <w:rFonts w:ascii="Garamond" w:hAnsi="Garamond" w:cs="Arial"/>
          <w:sz w:val="28"/>
          <w:szCs w:val="28"/>
        </w:rPr>
        <w:t>.</w:t>
      </w:r>
    </w:p>
    <w:p w14:paraId="76178D04" w14:textId="77777777" w:rsidR="008E3DA3" w:rsidRPr="00930B8D" w:rsidRDefault="008E3DA3" w:rsidP="008E3DA3">
      <w:pPr>
        <w:autoSpaceDE w:val="0"/>
        <w:autoSpaceDN w:val="0"/>
        <w:adjustRightInd w:val="0"/>
        <w:spacing w:line="276" w:lineRule="auto"/>
        <w:jc w:val="both"/>
        <w:rPr>
          <w:rFonts w:ascii="Garamond" w:hAnsi="Garamond" w:cs="Arial"/>
          <w:sz w:val="28"/>
          <w:szCs w:val="28"/>
        </w:rPr>
      </w:pPr>
      <w:r>
        <w:rPr>
          <w:rFonts w:ascii="Garamond" w:hAnsi="Garamond" w:cs="SymbolMT"/>
          <w:sz w:val="28"/>
          <w:szCs w:val="28"/>
        </w:rPr>
        <w:lastRenderedPageBreak/>
        <w:tab/>
      </w:r>
      <w:r w:rsidRPr="00930B8D">
        <w:rPr>
          <w:rFonts w:ascii="Garamond" w:hAnsi="Garamond" w:cs="SymbolMT"/>
          <w:sz w:val="28"/>
          <w:szCs w:val="28"/>
        </w:rPr>
        <w:tab/>
      </w:r>
      <w:r>
        <w:rPr>
          <w:rFonts w:ascii="Garamond" w:hAnsi="Garamond" w:cs="SymbolMT"/>
          <w:sz w:val="28"/>
          <w:szCs w:val="28"/>
        </w:rPr>
        <w:t>-</w:t>
      </w:r>
      <w:r w:rsidRPr="00930B8D">
        <w:rPr>
          <w:rFonts w:ascii="Garamond" w:hAnsi="Garamond" w:cs="Arial"/>
          <w:sz w:val="28"/>
          <w:szCs w:val="28"/>
        </w:rPr>
        <w:t xml:space="preserve">Por otra, y en paralelo, la creación de Tribunales Penales Internacionales, vía utilizada por el Consejo de Seguridad para crear órganos </w:t>
      </w:r>
      <w:r w:rsidRPr="00930B8D">
        <w:rPr>
          <w:rFonts w:ascii="Garamond" w:hAnsi="Garamond" w:cs="Arial"/>
          <w:i/>
          <w:iCs/>
          <w:sz w:val="28"/>
          <w:szCs w:val="28"/>
        </w:rPr>
        <w:t xml:space="preserve">ad hoc </w:t>
      </w:r>
      <w:r w:rsidRPr="00930B8D">
        <w:rPr>
          <w:rFonts w:ascii="Garamond" w:hAnsi="Garamond" w:cs="Arial"/>
          <w:sz w:val="28"/>
          <w:szCs w:val="28"/>
        </w:rPr>
        <w:t>(en 1993, con el Tribunal Penal Internacional para la Antigua Yugoslavia, y en 1994, con el Tribunal Penal Internacional para Rwanda), y más tarde, con un carácter permanente y universal, con la aprobación del Estatuto de Roma por el que se crea la Corte Penal Internacional en 1998</w:t>
      </w:r>
      <w:r>
        <w:rPr>
          <w:rFonts w:ascii="Garamond" w:hAnsi="Garamond" w:cs="Arial"/>
          <w:sz w:val="28"/>
          <w:szCs w:val="28"/>
        </w:rPr>
        <w:t>, de la que trataremos seguidamente</w:t>
      </w:r>
      <w:r w:rsidRPr="00930B8D">
        <w:rPr>
          <w:rFonts w:ascii="Garamond" w:hAnsi="Garamond" w:cs="Arial"/>
          <w:sz w:val="28"/>
          <w:szCs w:val="28"/>
        </w:rPr>
        <w:t>.</w:t>
      </w:r>
    </w:p>
    <w:p w14:paraId="0089BFDA" w14:textId="77777777" w:rsidR="008E3DA3" w:rsidRDefault="008E3DA3" w:rsidP="008E3DA3">
      <w:pPr>
        <w:autoSpaceDE w:val="0"/>
        <w:autoSpaceDN w:val="0"/>
        <w:adjustRightInd w:val="0"/>
        <w:spacing w:line="276" w:lineRule="auto"/>
        <w:jc w:val="both"/>
        <w:rPr>
          <w:rFonts w:ascii="Garamond" w:hAnsi="Garamond" w:cs="Arial"/>
          <w:sz w:val="28"/>
          <w:szCs w:val="28"/>
        </w:rPr>
      </w:pPr>
      <w:r w:rsidRPr="00930B8D">
        <w:rPr>
          <w:rFonts w:ascii="Garamond" w:hAnsi="Garamond" w:cs="SymbolMT"/>
          <w:sz w:val="28"/>
          <w:szCs w:val="28"/>
        </w:rPr>
        <w:tab/>
      </w:r>
      <w:r>
        <w:rPr>
          <w:rFonts w:ascii="Garamond" w:hAnsi="Garamond" w:cs="SymbolMT"/>
          <w:sz w:val="28"/>
          <w:szCs w:val="28"/>
        </w:rPr>
        <w:tab/>
        <w:t>-</w:t>
      </w:r>
      <w:r w:rsidRPr="00930B8D">
        <w:rPr>
          <w:rFonts w:ascii="Garamond" w:hAnsi="Garamond" w:cs="Arial"/>
          <w:sz w:val="28"/>
          <w:szCs w:val="28"/>
        </w:rPr>
        <w:t>Finalmente, la búsqueda de nuevas fórmulas jurisdiccionales con la aparición de tribunales internacionalizados de naturaleza híbrida</w:t>
      </w:r>
      <w:r>
        <w:rPr>
          <w:rFonts w:ascii="Garamond" w:hAnsi="Garamond" w:cs="Arial"/>
          <w:sz w:val="28"/>
          <w:szCs w:val="28"/>
        </w:rPr>
        <w:t xml:space="preserve">, </w:t>
      </w:r>
      <w:r w:rsidRPr="00930B8D">
        <w:rPr>
          <w:rFonts w:ascii="Garamond" w:hAnsi="Garamond" w:cs="Arial"/>
          <w:sz w:val="28"/>
          <w:szCs w:val="28"/>
        </w:rPr>
        <w:t>tanto en su composición como en el derecho aplicable. Así, los órganos jurisdiccionales establecidos en Sierra Leona, Camboya, Timor Oriental, Kosovo, Bosnia-Herzegovina, Irak y Líbano.</w:t>
      </w:r>
    </w:p>
    <w:p w14:paraId="3F91C92A" w14:textId="77777777" w:rsidR="008E3DA3" w:rsidRPr="00930B8D" w:rsidRDefault="008E3DA3" w:rsidP="008E3DA3">
      <w:pPr>
        <w:autoSpaceDE w:val="0"/>
        <w:autoSpaceDN w:val="0"/>
        <w:adjustRightInd w:val="0"/>
        <w:spacing w:line="276" w:lineRule="auto"/>
        <w:jc w:val="both"/>
        <w:rPr>
          <w:rFonts w:ascii="Garamond" w:hAnsi="Garamond" w:cs="Arial"/>
          <w:sz w:val="28"/>
          <w:szCs w:val="28"/>
        </w:rPr>
      </w:pPr>
    </w:p>
    <w:p w14:paraId="56DF2839" w14:textId="77777777" w:rsidR="008E3DA3" w:rsidRPr="00930B8D" w:rsidRDefault="008E3DA3" w:rsidP="008E3DA3">
      <w:pPr>
        <w:autoSpaceDE w:val="0"/>
        <w:autoSpaceDN w:val="0"/>
        <w:adjustRightInd w:val="0"/>
        <w:spacing w:line="276" w:lineRule="auto"/>
        <w:ind w:left="284" w:right="282"/>
        <w:jc w:val="both"/>
        <w:rPr>
          <w:rFonts w:ascii="Garamond" w:hAnsi="Garamond"/>
          <w:sz w:val="28"/>
          <w:szCs w:val="28"/>
        </w:rPr>
      </w:pPr>
      <w:r w:rsidRPr="00930B8D">
        <w:rPr>
          <w:rFonts w:ascii="Garamond" w:hAnsi="Garamond" w:cs="Arial"/>
          <w:sz w:val="28"/>
          <w:szCs w:val="28"/>
        </w:rPr>
        <w:tab/>
      </w:r>
      <w:r w:rsidRPr="000D284D">
        <w:rPr>
          <w:rFonts w:ascii="Garamond" w:hAnsi="Garamond" w:cs="Arial"/>
          <w:szCs w:val="28"/>
        </w:rPr>
        <w:t xml:space="preserve">Este proceso de internacionalización de la justicia penal está relacionado con el importante desarrollo experimentado por el Derecho Penal Internacional en la década de los noventa del pasado siglo (así, el proyecto de Código de Crímenes contra la Paz y la Seguridad de la Humanidad en 1996). </w:t>
      </w:r>
      <w:r w:rsidRPr="00930B8D">
        <w:rPr>
          <w:rFonts w:ascii="Garamond" w:hAnsi="Garamond" w:cs="Arial"/>
          <w:sz w:val="28"/>
          <w:szCs w:val="28"/>
        </w:rPr>
        <w:tab/>
      </w:r>
    </w:p>
    <w:p w14:paraId="4A170173" w14:textId="77777777" w:rsidR="008E3DA3" w:rsidRDefault="008E3DA3" w:rsidP="008E3DA3">
      <w:pPr>
        <w:spacing w:line="276" w:lineRule="auto"/>
        <w:ind w:firstLine="708"/>
        <w:jc w:val="both"/>
        <w:rPr>
          <w:rFonts w:ascii="Garamond" w:hAnsi="Garamond"/>
          <w:bCs/>
          <w:sz w:val="28"/>
          <w:szCs w:val="28"/>
        </w:rPr>
      </w:pPr>
    </w:p>
    <w:p w14:paraId="6F9F8472" w14:textId="77777777" w:rsidR="008E3DA3" w:rsidRPr="000C1FAD" w:rsidRDefault="008E3DA3" w:rsidP="008E3DA3">
      <w:pPr>
        <w:spacing w:line="276" w:lineRule="auto"/>
        <w:ind w:firstLine="708"/>
        <w:jc w:val="both"/>
        <w:rPr>
          <w:rFonts w:ascii="Garamond" w:hAnsi="Garamond"/>
          <w:bCs/>
          <w:sz w:val="28"/>
          <w:szCs w:val="28"/>
        </w:rPr>
      </w:pPr>
    </w:p>
    <w:p w14:paraId="55A90A4A" w14:textId="77777777" w:rsidR="008E3DA3" w:rsidRDefault="008E3DA3" w:rsidP="008E3DA3">
      <w:pPr>
        <w:spacing w:line="276" w:lineRule="auto"/>
        <w:jc w:val="both"/>
        <w:rPr>
          <w:rFonts w:ascii="Garamond" w:hAnsi="Garamond"/>
          <w:bCs/>
          <w:sz w:val="28"/>
          <w:szCs w:val="28"/>
        </w:rPr>
      </w:pPr>
      <w:r w:rsidRPr="000C1FAD">
        <w:rPr>
          <w:rFonts w:ascii="Garamond" w:hAnsi="Garamond"/>
          <w:bCs/>
          <w:sz w:val="28"/>
          <w:szCs w:val="28"/>
        </w:rPr>
        <w:t>III.</w:t>
      </w:r>
      <w:r w:rsidRPr="000C1FAD">
        <w:rPr>
          <w:rFonts w:ascii="Garamond" w:hAnsi="Garamond"/>
          <w:bCs/>
          <w:sz w:val="28"/>
          <w:szCs w:val="28"/>
        </w:rPr>
        <w:tab/>
        <w:t>EL ESTATUTO DE ROMA Y LA CORTE PENAL INTERNACIONAL</w:t>
      </w:r>
    </w:p>
    <w:p w14:paraId="50FCA2E8" w14:textId="77777777" w:rsidR="008E3DA3" w:rsidRPr="000C1FAD" w:rsidRDefault="008E3DA3" w:rsidP="008E3DA3">
      <w:pPr>
        <w:spacing w:line="276" w:lineRule="auto"/>
        <w:jc w:val="both"/>
        <w:rPr>
          <w:rFonts w:ascii="Garamond" w:hAnsi="Garamond"/>
          <w:bCs/>
          <w:sz w:val="28"/>
          <w:szCs w:val="28"/>
        </w:rPr>
      </w:pPr>
    </w:p>
    <w:p w14:paraId="070278F3"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Con el precedente de los Tribunales militares de Núremberg y Tokio, creados en 1945 y 1946 tras la Segunda Guerra Mundial, y también con el precedente de los Tribunales Internacionales para el enjuiciamiento de los responsables de las violaciones graves del Derecho Internacional Humanitario cometidas en los territorios de la antigua Yugoslavia y de Ruanda, tuvo lugar en 1998 una Conferencia Diplomática de Plenipotenciarios de las Naciones Unidas, que concluyó con la adopción del llamado Estatuto de Roma. Este texto crea la Corte Penal Internacional, con sede en La Haya, que se configura como una instancia judicial independiente, de carácter permanente y alcance potencialmente universal.</w:t>
      </w:r>
    </w:p>
    <w:p w14:paraId="04E6AD84" w14:textId="77777777" w:rsidR="008E3DA3" w:rsidRPr="000C1FAD" w:rsidRDefault="008E3DA3" w:rsidP="008E3DA3">
      <w:pPr>
        <w:spacing w:line="276" w:lineRule="auto"/>
        <w:ind w:firstLine="708"/>
        <w:jc w:val="both"/>
        <w:rPr>
          <w:rFonts w:ascii="Garamond" w:hAnsi="Garamond"/>
          <w:bCs/>
          <w:sz w:val="28"/>
          <w:szCs w:val="28"/>
        </w:rPr>
      </w:pPr>
    </w:p>
    <w:p w14:paraId="209B4D03" w14:textId="77777777" w:rsidR="008E3DA3" w:rsidRDefault="008E3DA3" w:rsidP="008E3DA3">
      <w:pPr>
        <w:spacing w:line="276" w:lineRule="auto"/>
        <w:ind w:left="284" w:right="282"/>
        <w:jc w:val="both"/>
        <w:rPr>
          <w:rFonts w:ascii="Garamond" w:hAnsi="Garamond"/>
          <w:bCs/>
          <w:szCs w:val="28"/>
        </w:rPr>
      </w:pPr>
      <w:r w:rsidRPr="000C1FAD">
        <w:rPr>
          <w:rFonts w:ascii="Garamond" w:hAnsi="Garamond"/>
          <w:bCs/>
          <w:sz w:val="28"/>
          <w:szCs w:val="28"/>
        </w:rPr>
        <w:tab/>
      </w:r>
      <w:r w:rsidRPr="008820CE">
        <w:rPr>
          <w:rFonts w:ascii="Garamond" w:hAnsi="Garamond"/>
          <w:bCs/>
          <w:szCs w:val="28"/>
        </w:rPr>
        <w:t>No sustituye a las jurisdicciones penales nacionales, pues su jurisdicción sólo se ejercerá de manera subsidiaria, es decir, cuando el Estado competente no esté dispuesto a enjuiciar unos determinados hechos o no pueda hacerlo efectivamente.</w:t>
      </w:r>
    </w:p>
    <w:p w14:paraId="00E63E71" w14:textId="77777777" w:rsidR="008E3DA3" w:rsidRPr="008820CE" w:rsidRDefault="008E3DA3" w:rsidP="008E3DA3">
      <w:pPr>
        <w:spacing w:line="276" w:lineRule="auto"/>
        <w:ind w:left="284" w:right="282"/>
        <w:jc w:val="both"/>
        <w:rPr>
          <w:rFonts w:ascii="Garamond" w:hAnsi="Garamond"/>
          <w:bCs/>
          <w:szCs w:val="28"/>
        </w:rPr>
      </w:pPr>
    </w:p>
    <w:p w14:paraId="1BF61A11" w14:textId="77777777" w:rsidR="008E3DA3" w:rsidRDefault="008E3DA3" w:rsidP="008E3DA3">
      <w:pPr>
        <w:spacing w:line="276" w:lineRule="auto"/>
        <w:ind w:left="284" w:right="282"/>
        <w:jc w:val="both"/>
        <w:rPr>
          <w:rFonts w:ascii="Garamond" w:hAnsi="Garamond"/>
          <w:bCs/>
          <w:sz w:val="28"/>
          <w:szCs w:val="28"/>
        </w:rPr>
      </w:pPr>
      <w:r w:rsidRPr="008820CE">
        <w:rPr>
          <w:rFonts w:ascii="Garamond" w:hAnsi="Garamond"/>
          <w:bCs/>
          <w:szCs w:val="28"/>
        </w:rPr>
        <w:tab/>
        <w:t xml:space="preserve">La jurisdicción de la Corte Penal Internacional es obligatoria para los Estados parte y podrá extenderse a otros Estados no parte cuando acepten su competencia o </w:t>
      </w:r>
      <w:r w:rsidRPr="008820CE">
        <w:rPr>
          <w:rFonts w:ascii="Garamond" w:hAnsi="Garamond"/>
          <w:bCs/>
          <w:szCs w:val="28"/>
        </w:rPr>
        <w:lastRenderedPageBreak/>
        <w:t>cuando así lo determine el Consejo de Seguridad de Naciones Unidas en virtud de sus atribuciones.</w:t>
      </w:r>
      <w:r w:rsidRPr="000C1FAD">
        <w:rPr>
          <w:rFonts w:ascii="Garamond" w:hAnsi="Garamond"/>
          <w:bCs/>
          <w:sz w:val="28"/>
          <w:szCs w:val="28"/>
        </w:rPr>
        <w:t xml:space="preserve">   </w:t>
      </w:r>
    </w:p>
    <w:p w14:paraId="4B52CDAD"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 xml:space="preserve">    </w:t>
      </w:r>
    </w:p>
    <w:p w14:paraId="42A94079"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El Tribunal no es competente para juzgar a Estados, sino a personas y tampoco lo es para juzgar hechos aislados, sino violaciones graves del Derecho Internacional Humanitario, entendiendo por tales el genocidio, los crímenes de lesa humanidad, los crímenes de guerra y la agresión.</w:t>
      </w:r>
    </w:p>
    <w:p w14:paraId="721B4336"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El Tribunal estará formado, en principio, por 18 magistrados y se organizará en una Presidencia y tres Secciones: de Cuestiones Preliminares, de Primera Instancia y de Apelaciones.</w:t>
      </w:r>
    </w:p>
    <w:p w14:paraId="1AEE65FB"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Como órgano auxiliar del Tribunal se crea la Secretaría y, como órgano separado e independiente del mismo, se configura la Fiscalía, con la función de recibir información, realizar investigaciones y ejercitar la acción penal ante el Tribunal.</w:t>
      </w:r>
    </w:p>
    <w:p w14:paraId="46CB0F4C"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En cuanto al procedimiento, la iniciativa de la acción penal corresponde en exclusiva al Fiscal (art. 13), una vez se haya puesto en marcha el mecanismo de activación de la Corte por alguna de estas tres vías: por impulso de un Estado parte; por impulso del Consejo de Seguridad; o por iniciativa del Fiscal, autorizado al efecto por la Sala de Cuestiones Preliminares (arts. 14 y 15).</w:t>
      </w:r>
    </w:p>
    <w:p w14:paraId="7716AA87"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La instrucción se encomienda, también, al Fiscal, que actúa bajo el control interno del Tribunal, por medio de la Sala de Cuestiones Preliminares, y bajo el control externo del Consejo de Seguridad de la ONU, que puede ordenar al Tribunal la suspensión de la investigación (art. 16).</w:t>
      </w:r>
    </w:p>
    <w:p w14:paraId="3B98E7AB"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La celebración del juicio oral tendrá lugar con la asistencia del acusado, sin que resulten admisibles las pruebas obtenidas con violación del Estatuto o de las normas de derechos humanos internacionales. Concluido el juicio se pronunciará el correspondiente fallo. Contra la sentencia de primera instancia cabe formular recurso de apelación y revisión ante la Sala de Apelaciones.</w:t>
      </w:r>
    </w:p>
    <w:p w14:paraId="73FC50E0" w14:textId="77777777" w:rsidR="008E3DA3" w:rsidRDefault="008E3DA3" w:rsidP="008E3DA3">
      <w:pPr>
        <w:spacing w:line="276" w:lineRule="auto"/>
        <w:jc w:val="both"/>
        <w:rPr>
          <w:rFonts w:ascii="Garamond" w:hAnsi="Garamond"/>
          <w:bCs/>
          <w:sz w:val="28"/>
          <w:szCs w:val="28"/>
        </w:rPr>
      </w:pPr>
      <w:r w:rsidRPr="000C1FAD">
        <w:rPr>
          <w:rFonts w:ascii="Garamond" w:hAnsi="Garamond"/>
          <w:bCs/>
          <w:sz w:val="28"/>
          <w:szCs w:val="28"/>
        </w:rPr>
        <w:tab/>
        <w:t>Las penas privativas de libertad se cumplirán en cualquiera de los Estados que voluntariamente manifiesten su disposición a recibir condenados o, en su caso, en el establecimiento penitenciario que designe el Estado anfitrión del Tribunal Penal Internacional.</w:t>
      </w:r>
    </w:p>
    <w:p w14:paraId="31B7A5B3" w14:textId="77777777" w:rsidR="008E3DA3" w:rsidRDefault="008E3DA3" w:rsidP="008E3DA3">
      <w:pPr>
        <w:spacing w:line="276" w:lineRule="auto"/>
        <w:jc w:val="both"/>
        <w:rPr>
          <w:rFonts w:ascii="Garamond" w:hAnsi="Garamond"/>
          <w:sz w:val="28"/>
          <w:szCs w:val="28"/>
        </w:rPr>
      </w:pPr>
      <w:r w:rsidRPr="000C1FAD">
        <w:rPr>
          <w:rFonts w:ascii="Garamond" w:hAnsi="Garamond"/>
          <w:bCs/>
          <w:sz w:val="28"/>
          <w:szCs w:val="28"/>
        </w:rPr>
        <w:tab/>
        <w:t xml:space="preserve">Para concluir, diremos que en España se dictó la ley Orgánica 18/2003, de 10 de diciembre, de Cooperación con la Corte Penal Internacional, que, entre otros aspectos, regula el llamado “mecanismo de activación”, a través del cual España puede denunciar ante la Corte la existencia de una situación que pudiera ser de la </w:t>
      </w:r>
      <w:r w:rsidRPr="000C1FAD">
        <w:rPr>
          <w:rFonts w:ascii="Garamond" w:hAnsi="Garamond"/>
          <w:sz w:val="28"/>
          <w:szCs w:val="28"/>
        </w:rPr>
        <w:t xml:space="preserve">competencia de la misma. Esta facultad se configura como una competencia exclusiva el Gobierno en cuanto responsable de la política </w:t>
      </w:r>
      <w:r w:rsidRPr="000C1FAD">
        <w:rPr>
          <w:rFonts w:ascii="Garamond" w:hAnsi="Garamond"/>
          <w:sz w:val="28"/>
          <w:szCs w:val="28"/>
        </w:rPr>
        <w:lastRenderedPageBreak/>
        <w:t>exterior. También destaca la regulación de los eventuales conflictos de competencia entre la Corte y los Tribunales españoles.</w:t>
      </w:r>
    </w:p>
    <w:p w14:paraId="6D5C9579" w14:textId="77777777" w:rsidR="008E3DA3" w:rsidRPr="000C1FAD" w:rsidRDefault="008E3DA3" w:rsidP="008E3DA3">
      <w:pPr>
        <w:pStyle w:val="Textonotapie"/>
        <w:spacing w:line="276" w:lineRule="auto"/>
        <w:jc w:val="both"/>
        <w:rPr>
          <w:rFonts w:ascii="Garamond" w:hAnsi="Garamond"/>
          <w:sz w:val="28"/>
          <w:szCs w:val="28"/>
        </w:rPr>
      </w:pPr>
    </w:p>
    <w:p w14:paraId="13DF2DCF" w14:textId="77777777" w:rsidR="008E3DA3" w:rsidRPr="008820CE" w:rsidRDefault="008E3DA3" w:rsidP="008E3DA3">
      <w:pPr>
        <w:pStyle w:val="Textonotapie"/>
        <w:spacing w:line="276" w:lineRule="auto"/>
        <w:ind w:left="284" w:right="282"/>
        <w:jc w:val="both"/>
        <w:rPr>
          <w:rFonts w:ascii="Garamond" w:hAnsi="Garamond"/>
          <w:sz w:val="24"/>
          <w:szCs w:val="28"/>
        </w:rPr>
      </w:pPr>
      <w:r w:rsidRPr="000C1FAD">
        <w:rPr>
          <w:rFonts w:ascii="Garamond" w:hAnsi="Garamond"/>
          <w:sz w:val="28"/>
          <w:szCs w:val="28"/>
        </w:rPr>
        <w:tab/>
      </w:r>
      <w:r>
        <w:rPr>
          <w:rFonts w:ascii="Garamond" w:hAnsi="Garamond"/>
          <w:sz w:val="28"/>
          <w:szCs w:val="28"/>
        </w:rPr>
        <w:tab/>
      </w:r>
      <w:r w:rsidRPr="008820CE">
        <w:rPr>
          <w:rFonts w:ascii="Garamond" w:hAnsi="Garamond"/>
          <w:sz w:val="24"/>
          <w:szCs w:val="28"/>
        </w:rPr>
        <w:t xml:space="preserve">La ley pone particular cuidado en la regulación de eventuales conflictos competenciales entre la Corte y los tribunales españoles, estableciéndose el deber del Ejecutivo de sostener la competencia española cuando ésta ha sido ejercida o se está ejerciendo, pero se establece un matiz o gradación en los deberes del Ejecutivo, inspirado en reciente doctrina tanto de la Sala Segunda como de la Sala Tercera del Tribunal Supremo, en orden al deber de recurrir o la facultad de hacerlo ante órganos judiciales externos. Cuando la causa se halla en un estadio inicial, en el momento procesal en que el Fiscal de la Corte reclama la competencia, el Gobierno tiene el deber de recurrir ante la Sala de Cuestiones Preliminares, pero cuando ésta ya se ha pronunciado sosteniendo la competencia de la Corte, el Gobierno tiene la facultad de apreciar soberanamente si se aquieta a esta decisión o interpone recurso ante la Sala de Apelaciones. Un elemento significativo de esta ley es la entrega a la Corte de una persona reclamada por la misma, que resulta imprescindible, pues el Estatuto no permite dictar sentencias en rebeldía. Los preceptos del Estatuto y de las reglas de procedimiento y prueba son muy minuciosos y concordantes con el derecho interno español, por lo que esta ley sólo introduce los adecuados complementos. </w:t>
      </w:r>
    </w:p>
    <w:p w14:paraId="73ED1292" w14:textId="77777777" w:rsidR="008E3DA3" w:rsidRPr="008820CE" w:rsidRDefault="008E3DA3" w:rsidP="008E3DA3">
      <w:pPr>
        <w:pStyle w:val="Textonotapie"/>
        <w:spacing w:line="276" w:lineRule="auto"/>
        <w:ind w:left="284" w:right="282"/>
        <w:jc w:val="both"/>
        <w:rPr>
          <w:rFonts w:ascii="Garamond" w:hAnsi="Garamond"/>
          <w:sz w:val="24"/>
          <w:szCs w:val="28"/>
        </w:rPr>
      </w:pPr>
    </w:p>
    <w:p w14:paraId="68EE69F7" w14:textId="77777777" w:rsidR="008E3DA3" w:rsidRDefault="008E3DA3" w:rsidP="008E3DA3">
      <w:pPr>
        <w:pStyle w:val="Textonotapie"/>
        <w:spacing w:line="276" w:lineRule="auto"/>
        <w:ind w:left="0" w:firstLine="1"/>
        <w:jc w:val="both"/>
        <w:rPr>
          <w:rFonts w:ascii="Garamond" w:hAnsi="Garamond"/>
          <w:sz w:val="28"/>
          <w:szCs w:val="28"/>
        </w:rPr>
      </w:pPr>
      <w:r w:rsidRPr="000C1FAD">
        <w:rPr>
          <w:rFonts w:ascii="Garamond" w:hAnsi="Garamond"/>
          <w:sz w:val="28"/>
          <w:szCs w:val="28"/>
        </w:rPr>
        <w:tab/>
        <w:t xml:space="preserve">El aspecto más significativo se refiere al principio general que establece el Estatuto acerca de la obligatoriedad de decretar la prisión provisional, siendo excepción la libertad provisional, aunque no se establece un automatismo riguroso eliminando por completo la facultad de apreciación por el juez interno, sino solamente que examine y valore las recomendaciones de la Corte, tal y como establece el artículo 59.4 del Estatuto. </w:t>
      </w:r>
    </w:p>
    <w:p w14:paraId="1D641D8C" w14:textId="77777777" w:rsidR="008E3DA3" w:rsidRPr="000C1FAD" w:rsidRDefault="008E3DA3" w:rsidP="008E3DA3">
      <w:pPr>
        <w:pStyle w:val="Textonotapie"/>
        <w:spacing w:line="276" w:lineRule="auto"/>
        <w:ind w:left="0" w:firstLine="1"/>
        <w:jc w:val="both"/>
        <w:rPr>
          <w:rFonts w:ascii="Garamond" w:hAnsi="Garamond"/>
          <w:sz w:val="28"/>
          <w:szCs w:val="28"/>
        </w:rPr>
      </w:pPr>
      <w:r>
        <w:rPr>
          <w:rFonts w:ascii="Garamond" w:hAnsi="Garamond"/>
          <w:sz w:val="28"/>
          <w:szCs w:val="28"/>
        </w:rPr>
        <w:tab/>
      </w:r>
      <w:r w:rsidRPr="000C1FAD">
        <w:rPr>
          <w:rFonts w:ascii="Garamond" w:hAnsi="Garamond"/>
          <w:sz w:val="28"/>
          <w:szCs w:val="28"/>
        </w:rPr>
        <w:t>En orden a la entrega a la Corte, la característica principal es la limitación de los motivos de denegación de la solicitud, apartándose de los modelos clásicos en materia de extradición, ya que ni siquiera la existencia de cosa juzgada puede impedir la entrega, sin perjuicio de la valoración que, en su caso, pueda efectuar la Corte.</w:t>
      </w:r>
    </w:p>
    <w:p w14:paraId="24CE3E28" w14:textId="77777777" w:rsidR="008E3DA3" w:rsidRPr="000C1FAD" w:rsidRDefault="008E3DA3" w:rsidP="008E3DA3">
      <w:pPr>
        <w:spacing w:line="276" w:lineRule="auto"/>
        <w:jc w:val="both"/>
        <w:rPr>
          <w:rFonts w:ascii="Garamond" w:hAnsi="Garamond"/>
          <w:bCs/>
          <w:sz w:val="28"/>
          <w:szCs w:val="28"/>
        </w:rPr>
      </w:pPr>
    </w:p>
    <w:p w14:paraId="17334426" w14:textId="77777777" w:rsidR="008E3DA3" w:rsidRPr="000C1FAD" w:rsidRDefault="008E3DA3" w:rsidP="008E3DA3">
      <w:pPr>
        <w:spacing w:line="276" w:lineRule="auto"/>
        <w:ind w:firstLine="708"/>
        <w:jc w:val="both"/>
        <w:rPr>
          <w:rFonts w:ascii="Garamond" w:hAnsi="Garamond"/>
          <w:bCs/>
          <w:sz w:val="28"/>
          <w:szCs w:val="28"/>
        </w:rPr>
      </w:pPr>
    </w:p>
    <w:p w14:paraId="24CA2173" w14:textId="77777777" w:rsidR="008E3DA3" w:rsidRDefault="008E3DA3" w:rsidP="008E3DA3">
      <w:pPr>
        <w:spacing w:line="276" w:lineRule="auto"/>
        <w:jc w:val="both"/>
        <w:rPr>
          <w:rFonts w:ascii="Garamond" w:hAnsi="Garamond"/>
          <w:bCs/>
          <w:sz w:val="28"/>
          <w:szCs w:val="28"/>
        </w:rPr>
      </w:pPr>
      <w:r w:rsidRPr="000C1FAD">
        <w:rPr>
          <w:rFonts w:ascii="Garamond" w:hAnsi="Garamond"/>
          <w:bCs/>
          <w:sz w:val="28"/>
          <w:szCs w:val="28"/>
        </w:rPr>
        <w:t>IV.</w:t>
      </w:r>
      <w:r w:rsidRPr="000C1FAD">
        <w:rPr>
          <w:rFonts w:ascii="Garamond" w:hAnsi="Garamond"/>
          <w:bCs/>
          <w:sz w:val="28"/>
          <w:szCs w:val="28"/>
        </w:rPr>
        <w:tab/>
        <w:t>COOPERACIÓN JUDICIAL PENAL EN EL MARCO DEL CONSEJO DE EUROPA: EL CONVENIO DE ASISTENCIA JUDICIAL PENAL DE 1959 Y EL CONVENIO EUROPEO DE EXTRADICIÓN</w:t>
      </w:r>
    </w:p>
    <w:p w14:paraId="797202BA" w14:textId="77777777" w:rsidR="00085A87" w:rsidRPr="000C1FAD" w:rsidRDefault="00085A87" w:rsidP="008E3DA3">
      <w:pPr>
        <w:spacing w:line="276" w:lineRule="auto"/>
        <w:jc w:val="both"/>
        <w:rPr>
          <w:rFonts w:ascii="Garamond" w:hAnsi="Garamond"/>
          <w:bCs/>
          <w:sz w:val="28"/>
          <w:szCs w:val="28"/>
        </w:rPr>
      </w:pPr>
    </w:p>
    <w:p w14:paraId="25DFA47D"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 xml:space="preserve">La contribución del Consejo de Europa a la cooperación judicial internacional es incalculable. Los tres grandes convenios de cooperación surgidos en su seno son: a) el Convenio Europeo de extradición de 1957, b) el </w:t>
      </w:r>
      <w:r w:rsidRPr="000C1FAD">
        <w:rPr>
          <w:rFonts w:ascii="Garamond" w:hAnsi="Garamond"/>
          <w:bCs/>
          <w:sz w:val="28"/>
          <w:szCs w:val="28"/>
        </w:rPr>
        <w:lastRenderedPageBreak/>
        <w:t xml:space="preserve">Convenio de Asistencia Judicial en materia penal de 1959 y c) el Convenio Europeo sobre traslado de personas condenadas de 1983. </w:t>
      </w:r>
    </w:p>
    <w:p w14:paraId="0FB62043"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 xml:space="preserve">A ellos ha de añadirse el Convenio del Consejo de Europa sobre prevención y lucha contra la violencia contra la mujer y la violencia doméstica, hecho en Estambul el 11 de mayo de 2011. </w:t>
      </w:r>
    </w:p>
    <w:p w14:paraId="59005D71" w14:textId="77777777" w:rsidR="008E3DA3" w:rsidRDefault="008E3DA3" w:rsidP="008E3DA3">
      <w:pPr>
        <w:spacing w:line="276" w:lineRule="auto"/>
        <w:ind w:firstLine="708"/>
        <w:jc w:val="both"/>
        <w:rPr>
          <w:rFonts w:ascii="Garamond" w:hAnsi="Garamond"/>
          <w:bCs/>
          <w:szCs w:val="28"/>
        </w:rPr>
      </w:pPr>
    </w:p>
    <w:p w14:paraId="7E0D8D3E" w14:textId="77777777" w:rsidR="008E3DA3" w:rsidRDefault="008E3DA3" w:rsidP="008E3DA3">
      <w:pPr>
        <w:spacing w:line="276" w:lineRule="auto"/>
        <w:ind w:left="284" w:right="282" w:firstLine="708"/>
        <w:jc w:val="both"/>
        <w:rPr>
          <w:rFonts w:ascii="Garamond" w:hAnsi="Garamond"/>
          <w:bCs/>
          <w:szCs w:val="28"/>
        </w:rPr>
      </w:pPr>
      <w:r w:rsidRPr="008820CE">
        <w:rPr>
          <w:rFonts w:ascii="Garamond" w:hAnsi="Garamond"/>
          <w:bCs/>
          <w:szCs w:val="28"/>
        </w:rPr>
        <w:t xml:space="preserve">El nuevo Convenio del Consejo de Europa ha sido calificado como el tratado internacional de mayor alcance para hacer frente a esta grave violación de los derechos humanos. </w:t>
      </w:r>
    </w:p>
    <w:p w14:paraId="68F07184" w14:textId="77777777" w:rsidR="008E3DA3" w:rsidRDefault="008E3DA3" w:rsidP="008E3DA3">
      <w:pPr>
        <w:spacing w:line="276" w:lineRule="auto"/>
        <w:ind w:firstLine="708"/>
        <w:jc w:val="both"/>
        <w:rPr>
          <w:rFonts w:ascii="Garamond" w:hAnsi="Garamond"/>
          <w:bCs/>
          <w:sz w:val="28"/>
          <w:szCs w:val="28"/>
        </w:rPr>
      </w:pPr>
    </w:p>
    <w:p w14:paraId="6B3FC7AB"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En su capítulo VIII acoge un bloque de normas dedicadas a la cooperación internacional y presididas, como principio general, por el compromiso de las partes de celebrar acuerdos relativos a la cooperación en materia civil y penal basados en legislaciones uniformes o recíprocas en la medida más amplia posible, a los fines del Convenio.</w:t>
      </w:r>
    </w:p>
    <w:p w14:paraId="08DBC87C" w14:textId="77777777" w:rsidR="008E3DA3" w:rsidRPr="000C1FAD" w:rsidRDefault="008E3DA3" w:rsidP="008E3DA3">
      <w:pPr>
        <w:spacing w:line="276" w:lineRule="auto"/>
        <w:ind w:firstLine="708"/>
        <w:jc w:val="both"/>
        <w:rPr>
          <w:rFonts w:ascii="Garamond" w:hAnsi="Garamond"/>
          <w:bCs/>
          <w:sz w:val="28"/>
          <w:szCs w:val="28"/>
        </w:rPr>
      </w:pPr>
    </w:p>
    <w:p w14:paraId="72A6FD1C"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Por exigencias del programa nos referiremos sólo a los dos primeros.</w:t>
      </w:r>
    </w:p>
    <w:p w14:paraId="0B4900A1" w14:textId="77777777" w:rsidR="008E3DA3" w:rsidRPr="000C1FAD" w:rsidRDefault="008E3DA3" w:rsidP="008E3DA3">
      <w:pPr>
        <w:spacing w:line="276" w:lineRule="auto"/>
        <w:ind w:firstLine="708"/>
        <w:jc w:val="both"/>
        <w:rPr>
          <w:rFonts w:ascii="Garamond" w:hAnsi="Garamond"/>
          <w:bCs/>
          <w:sz w:val="28"/>
          <w:szCs w:val="28"/>
        </w:rPr>
      </w:pPr>
    </w:p>
    <w:p w14:paraId="0AA9D1DF"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r>
      <w:r>
        <w:rPr>
          <w:rFonts w:ascii="Garamond" w:hAnsi="Garamond"/>
          <w:bCs/>
          <w:sz w:val="28"/>
          <w:szCs w:val="28"/>
        </w:rPr>
        <w:t>A)</w:t>
      </w:r>
      <w:r w:rsidRPr="000C1FAD">
        <w:rPr>
          <w:rFonts w:ascii="Garamond" w:hAnsi="Garamond"/>
          <w:bCs/>
          <w:sz w:val="28"/>
          <w:szCs w:val="28"/>
        </w:rPr>
        <w:t xml:space="preserve"> El Convenio de Asistencia Judicial en materia penal de 1959 nace con la vocación de facilitar la aplicación del Convenio de extradición de 1957, pero luego adquiere autonomía propia, así como una extraordinaria importancia práctica En su ámbito de aplicación se incluyen solo las infracciones penales comunes, excluyéndose los delitos militares. También puede denegarse la asistencia cuando las infracciones tengan carácter político o su ejecución perjudique a la soberanía, la seguridad, el orden público u otros intereses esenciales del Estado requerido.</w:t>
      </w:r>
    </w:p>
    <w:p w14:paraId="2FE50006"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Desde el punto de vista sistemático, el Convenio de 1959 distingue cinco grandes grupos de actos de asistencia o auxilio judicial en materia penal, a los que dedica títulos separados</w:t>
      </w:r>
      <w:r>
        <w:rPr>
          <w:rFonts w:ascii="Garamond" w:hAnsi="Garamond"/>
          <w:bCs/>
          <w:sz w:val="28"/>
          <w:szCs w:val="28"/>
        </w:rPr>
        <w:t>, y que son</w:t>
      </w:r>
      <w:r w:rsidRPr="000C1FAD">
        <w:rPr>
          <w:rFonts w:ascii="Garamond" w:hAnsi="Garamond"/>
          <w:bCs/>
          <w:sz w:val="28"/>
          <w:szCs w:val="28"/>
        </w:rPr>
        <w:t xml:space="preserve">: </w:t>
      </w:r>
    </w:p>
    <w:p w14:paraId="7F3EBFDE" w14:textId="77777777" w:rsidR="008E3DA3" w:rsidRDefault="008E3DA3" w:rsidP="008E3DA3">
      <w:pPr>
        <w:spacing w:line="276" w:lineRule="auto"/>
        <w:ind w:firstLine="708"/>
        <w:jc w:val="both"/>
        <w:rPr>
          <w:rFonts w:ascii="Garamond" w:hAnsi="Garamond"/>
          <w:bCs/>
          <w:sz w:val="28"/>
          <w:szCs w:val="28"/>
        </w:rPr>
      </w:pPr>
    </w:p>
    <w:p w14:paraId="255391C0"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-Las Comisiones Rogatorias</w:t>
      </w:r>
      <w:r>
        <w:rPr>
          <w:rFonts w:ascii="Garamond" w:hAnsi="Garamond"/>
          <w:bCs/>
          <w:sz w:val="28"/>
          <w:szCs w:val="28"/>
        </w:rPr>
        <w:t>, que</w:t>
      </w:r>
      <w:r w:rsidRPr="000C1FAD">
        <w:rPr>
          <w:rFonts w:ascii="Garamond" w:hAnsi="Garamond"/>
          <w:bCs/>
          <w:sz w:val="28"/>
          <w:szCs w:val="28"/>
        </w:rPr>
        <w:t xml:space="preserve"> tienen por objeto cualesquiera actos de instrucción penal, así como la transmisión de piezas probatorias, expedientes o documentos, incluso originales si lo pide la parte requirente. Se ejecutan en la forma que establezca la legislación del Estado requerido (</w:t>
      </w:r>
      <w:r w:rsidRPr="000C1FAD">
        <w:rPr>
          <w:rFonts w:ascii="Garamond" w:hAnsi="Garamond"/>
          <w:bCs/>
          <w:i/>
          <w:sz w:val="28"/>
          <w:szCs w:val="28"/>
        </w:rPr>
        <w:t>locus regit actum</w:t>
      </w:r>
      <w:r w:rsidRPr="000C1FAD">
        <w:rPr>
          <w:rFonts w:ascii="Garamond" w:hAnsi="Garamond"/>
          <w:bCs/>
          <w:sz w:val="28"/>
          <w:szCs w:val="28"/>
        </w:rPr>
        <w:t>)</w:t>
      </w:r>
      <w:r>
        <w:rPr>
          <w:rFonts w:ascii="Garamond" w:hAnsi="Garamond"/>
          <w:bCs/>
          <w:sz w:val="28"/>
          <w:szCs w:val="28"/>
        </w:rPr>
        <w:t>.</w:t>
      </w:r>
    </w:p>
    <w:p w14:paraId="120B2E05" w14:textId="77777777" w:rsidR="008E3DA3" w:rsidRDefault="008E3DA3" w:rsidP="008E3DA3">
      <w:pPr>
        <w:spacing w:line="276" w:lineRule="auto"/>
        <w:ind w:firstLine="708"/>
        <w:jc w:val="both"/>
        <w:rPr>
          <w:rFonts w:ascii="Garamond" w:hAnsi="Garamond"/>
          <w:bCs/>
          <w:sz w:val="28"/>
          <w:szCs w:val="28"/>
        </w:rPr>
      </w:pPr>
    </w:p>
    <w:p w14:paraId="51F1434B" w14:textId="77777777" w:rsidR="008E3DA3" w:rsidRPr="008820CE" w:rsidRDefault="008E3DA3" w:rsidP="008E3DA3">
      <w:pPr>
        <w:spacing w:line="276" w:lineRule="auto"/>
        <w:ind w:left="284" w:right="282" w:firstLine="708"/>
        <w:jc w:val="both"/>
        <w:rPr>
          <w:rFonts w:ascii="Garamond" w:hAnsi="Garamond"/>
          <w:bCs/>
          <w:szCs w:val="28"/>
        </w:rPr>
      </w:pPr>
      <w:r w:rsidRPr="008820CE">
        <w:rPr>
          <w:rFonts w:ascii="Garamond" w:hAnsi="Garamond"/>
          <w:bCs/>
          <w:szCs w:val="28"/>
        </w:rPr>
        <w:t>Este principio se ha visto superado por posteriores instrumentos de asistencia penal internacional que imponen el respeto de los procedimientos exigidos por la ley del Estado requirente (</w:t>
      </w:r>
      <w:r w:rsidRPr="008820CE">
        <w:rPr>
          <w:rFonts w:ascii="Garamond" w:hAnsi="Garamond"/>
          <w:bCs/>
          <w:i/>
          <w:szCs w:val="28"/>
        </w:rPr>
        <w:t>forum regit actum</w:t>
      </w:r>
      <w:r w:rsidRPr="008820CE">
        <w:rPr>
          <w:rFonts w:ascii="Garamond" w:hAnsi="Garamond"/>
          <w:bCs/>
          <w:szCs w:val="28"/>
        </w:rPr>
        <w:t xml:space="preserve">). </w:t>
      </w:r>
    </w:p>
    <w:p w14:paraId="2FAF670B" w14:textId="77777777" w:rsidR="008E3DA3" w:rsidRPr="000C1FAD" w:rsidRDefault="008E3DA3" w:rsidP="008E3DA3">
      <w:pPr>
        <w:spacing w:line="276" w:lineRule="auto"/>
        <w:ind w:firstLine="708"/>
        <w:jc w:val="both"/>
        <w:rPr>
          <w:rFonts w:ascii="Garamond" w:hAnsi="Garamond"/>
          <w:bCs/>
          <w:sz w:val="28"/>
          <w:szCs w:val="28"/>
        </w:rPr>
      </w:pPr>
    </w:p>
    <w:p w14:paraId="7710DFD1"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lastRenderedPageBreak/>
        <w:t xml:space="preserve">-La notificación tiene un sentido amplio pues incluye las citaciones y los requerimientos, y tanto el acto de notificación formal como la mera entrega o envío del documento o resolución. Caben formas alternativas de notificación: la simple entrega al destinatario del documento o, si la parte requirente así lo solicita expresamente, la notificación en una de las formas previstas por la legislación del Estado requerido para notificaciones análogas, o en alguna forma especial que sea compatible con esa legislación. Si el Estado requirente considera especialmente necesaria la comparecencia personal del testigo o perito ante sus autoridades judiciales lo debe hacer constar así en la petición de auxilio judicial, y la parte requerida viene obligada, en el momento de efectuar la citación, a instar al testigo o perito en tal sentido. </w:t>
      </w:r>
    </w:p>
    <w:p w14:paraId="5D67586C" w14:textId="77777777" w:rsidR="008E3DA3" w:rsidRPr="008820CE" w:rsidRDefault="008E3DA3" w:rsidP="008E3DA3">
      <w:pPr>
        <w:spacing w:line="276" w:lineRule="auto"/>
        <w:ind w:left="284" w:right="282" w:firstLine="708"/>
        <w:jc w:val="both"/>
        <w:rPr>
          <w:rFonts w:ascii="Garamond" w:hAnsi="Garamond"/>
          <w:bCs/>
          <w:szCs w:val="28"/>
        </w:rPr>
      </w:pPr>
      <w:r w:rsidRPr="008820CE">
        <w:rPr>
          <w:rFonts w:ascii="Garamond" w:hAnsi="Garamond"/>
          <w:bCs/>
          <w:szCs w:val="28"/>
        </w:rPr>
        <w:t>El art</w:t>
      </w:r>
      <w:r>
        <w:rPr>
          <w:rFonts w:ascii="Garamond" w:hAnsi="Garamond"/>
          <w:bCs/>
          <w:szCs w:val="28"/>
        </w:rPr>
        <w:t>ículo</w:t>
      </w:r>
      <w:r w:rsidRPr="008820CE">
        <w:rPr>
          <w:rFonts w:ascii="Garamond" w:hAnsi="Garamond"/>
          <w:bCs/>
          <w:szCs w:val="28"/>
        </w:rPr>
        <w:t xml:space="preserve"> 11.1 contempla el supuesto de traslado temporal de detenidos cuya comparecencia personal como testigos o para un careo hubiese sido solicitada por la parte requirente.</w:t>
      </w:r>
    </w:p>
    <w:p w14:paraId="60B81F0B" w14:textId="77777777" w:rsidR="008E3DA3" w:rsidRPr="000C1FAD" w:rsidRDefault="008E3DA3" w:rsidP="008E3DA3">
      <w:pPr>
        <w:spacing w:line="276" w:lineRule="auto"/>
        <w:ind w:firstLine="708"/>
        <w:jc w:val="both"/>
        <w:rPr>
          <w:rFonts w:ascii="Garamond" w:hAnsi="Garamond"/>
          <w:bCs/>
          <w:sz w:val="28"/>
          <w:szCs w:val="28"/>
        </w:rPr>
      </w:pPr>
    </w:p>
    <w:p w14:paraId="128BD3D9"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-El art</w:t>
      </w:r>
      <w:r>
        <w:rPr>
          <w:rFonts w:ascii="Garamond" w:hAnsi="Garamond"/>
          <w:bCs/>
          <w:sz w:val="28"/>
          <w:szCs w:val="28"/>
        </w:rPr>
        <w:t>ículo</w:t>
      </w:r>
      <w:r w:rsidRPr="000C1FAD">
        <w:rPr>
          <w:rFonts w:ascii="Garamond" w:hAnsi="Garamond"/>
          <w:bCs/>
          <w:sz w:val="28"/>
          <w:szCs w:val="28"/>
        </w:rPr>
        <w:t xml:space="preserve"> 13.1 del convenio se refiere a las solicitudes de asistencia cursadas por las autoridades judiciales del Estado requirente y que tengan por objeto la comunicación de extractos o información relativa a antecedentes penales necesarios en una causa penal.</w:t>
      </w:r>
    </w:p>
    <w:p w14:paraId="194AE00F"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-El art</w:t>
      </w:r>
      <w:r>
        <w:rPr>
          <w:rFonts w:ascii="Garamond" w:hAnsi="Garamond"/>
          <w:bCs/>
          <w:sz w:val="28"/>
          <w:szCs w:val="28"/>
        </w:rPr>
        <w:t>ículo</w:t>
      </w:r>
      <w:r w:rsidRPr="000C1FAD">
        <w:rPr>
          <w:rFonts w:ascii="Garamond" w:hAnsi="Garamond"/>
          <w:bCs/>
          <w:sz w:val="28"/>
          <w:szCs w:val="28"/>
        </w:rPr>
        <w:t xml:space="preserve"> 21 regula, bajo la rúbrica de “denuncias a fines procesales”, un mecanismo de cooperación penal internacional en virtud del cual un Estado parte puede denunciar formalmente ante otro Estado parte un determinado hecho delictivo con la finalidad de que sea perseguido penalmente en este último. </w:t>
      </w:r>
      <w:r>
        <w:rPr>
          <w:rFonts w:ascii="Garamond" w:hAnsi="Garamond"/>
          <w:bCs/>
          <w:sz w:val="28"/>
          <w:szCs w:val="28"/>
        </w:rPr>
        <w:tab/>
      </w:r>
    </w:p>
    <w:p w14:paraId="68826A13" w14:textId="77777777" w:rsidR="008E3DA3" w:rsidRPr="008820CE" w:rsidRDefault="008E3DA3" w:rsidP="008E3DA3">
      <w:pPr>
        <w:spacing w:line="276" w:lineRule="auto"/>
        <w:ind w:left="284" w:right="282" w:firstLine="708"/>
        <w:jc w:val="both"/>
        <w:rPr>
          <w:rFonts w:ascii="Garamond" w:hAnsi="Garamond"/>
          <w:bCs/>
          <w:szCs w:val="28"/>
        </w:rPr>
      </w:pPr>
      <w:r w:rsidRPr="008820CE">
        <w:rPr>
          <w:rFonts w:ascii="Garamond" w:hAnsi="Garamond"/>
          <w:bCs/>
          <w:szCs w:val="28"/>
        </w:rPr>
        <w:t>No obstante</w:t>
      </w:r>
      <w:r w:rsidRPr="008820CE">
        <w:rPr>
          <w:rFonts w:ascii="Arial" w:hAnsi="Arial" w:cs="Arial"/>
          <w:szCs w:val="28"/>
        </w:rPr>
        <w:t xml:space="preserve">, </w:t>
      </w:r>
      <w:r w:rsidRPr="008820CE">
        <w:rPr>
          <w:rFonts w:ascii="Garamond" w:hAnsi="Garamond"/>
          <w:bCs/>
          <w:szCs w:val="28"/>
        </w:rPr>
        <w:t>la proliferación de instrumentos internacionales para la transmisión de procesos penales mucho más elaborados que el mecanismo de la denuncia a fines procesales, entre ellos el Convenio europeo sobre la transmisión de procedimientos penales de 1972, ha venido a dar un carácter meramente residual al art</w:t>
      </w:r>
      <w:r>
        <w:rPr>
          <w:rFonts w:ascii="Garamond" w:hAnsi="Garamond"/>
          <w:bCs/>
          <w:szCs w:val="28"/>
        </w:rPr>
        <w:t>ículo</w:t>
      </w:r>
      <w:r w:rsidRPr="008820CE">
        <w:rPr>
          <w:rFonts w:ascii="Garamond" w:hAnsi="Garamond"/>
          <w:bCs/>
          <w:szCs w:val="28"/>
        </w:rPr>
        <w:t xml:space="preserve"> 21 del Convenio.</w:t>
      </w:r>
    </w:p>
    <w:p w14:paraId="6E2C57CE" w14:textId="77777777" w:rsidR="008E3DA3" w:rsidRPr="000C1FAD" w:rsidRDefault="008E3DA3" w:rsidP="008E3DA3">
      <w:pPr>
        <w:spacing w:line="276" w:lineRule="auto"/>
        <w:ind w:firstLine="708"/>
        <w:jc w:val="both"/>
        <w:rPr>
          <w:rFonts w:ascii="Garamond" w:hAnsi="Garamond"/>
          <w:bCs/>
          <w:sz w:val="28"/>
          <w:szCs w:val="28"/>
        </w:rPr>
      </w:pPr>
    </w:p>
    <w:p w14:paraId="3631722C"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-El art</w:t>
      </w:r>
      <w:r>
        <w:rPr>
          <w:rFonts w:ascii="Garamond" w:hAnsi="Garamond"/>
          <w:bCs/>
          <w:sz w:val="28"/>
          <w:szCs w:val="28"/>
        </w:rPr>
        <w:t>ículo</w:t>
      </w:r>
      <w:r w:rsidRPr="000C1FAD">
        <w:rPr>
          <w:rFonts w:ascii="Garamond" w:hAnsi="Garamond"/>
          <w:bCs/>
          <w:sz w:val="28"/>
          <w:szCs w:val="28"/>
        </w:rPr>
        <w:t xml:space="preserve"> 22 del Convenio, por su parte, se encarga de regular la comunicación automática de sentencias penales y medidas posteriores objeto de inscripción en el correspondiente registro de antecedentes penales que afecten a los ciudadanos nacionales de los restantes Estados parte en el convenio.</w:t>
      </w:r>
    </w:p>
    <w:p w14:paraId="21F5D109" w14:textId="77777777" w:rsidR="008E3DA3" w:rsidRPr="000C1FAD" w:rsidRDefault="008E3DA3" w:rsidP="008E3DA3">
      <w:pPr>
        <w:spacing w:line="276" w:lineRule="auto"/>
        <w:ind w:firstLine="708"/>
        <w:jc w:val="both"/>
        <w:rPr>
          <w:rFonts w:ascii="Garamond" w:hAnsi="Garamond"/>
          <w:bCs/>
          <w:sz w:val="28"/>
          <w:szCs w:val="28"/>
        </w:rPr>
      </w:pPr>
    </w:p>
    <w:p w14:paraId="6E6111F2"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En cuanto al procedimiento, la regla general es que no se exige la traducción de la solicitud ni de los documentos anexos a un idioma distinto de la lengua del Estado requirente</w:t>
      </w:r>
      <w:r>
        <w:rPr>
          <w:rFonts w:ascii="Garamond" w:hAnsi="Garamond"/>
          <w:bCs/>
          <w:sz w:val="28"/>
          <w:szCs w:val="28"/>
        </w:rPr>
        <w:t>.</w:t>
      </w:r>
    </w:p>
    <w:p w14:paraId="1CFA5C4A" w14:textId="77777777" w:rsidR="008E3DA3" w:rsidRDefault="008E3DA3" w:rsidP="008E3DA3">
      <w:pPr>
        <w:spacing w:line="276" w:lineRule="auto"/>
        <w:ind w:firstLine="708"/>
        <w:jc w:val="both"/>
        <w:rPr>
          <w:rFonts w:ascii="Garamond" w:hAnsi="Garamond"/>
          <w:bCs/>
          <w:sz w:val="28"/>
          <w:szCs w:val="28"/>
        </w:rPr>
      </w:pPr>
    </w:p>
    <w:p w14:paraId="4BB34199" w14:textId="77777777" w:rsidR="008E3DA3" w:rsidRPr="001B5298" w:rsidRDefault="008E3DA3" w:rsidP="008E3DA3">
      <w:pPr>
        <w:spacing w:line="276" w:lineRule="auto"/>
        <w:ind w:left="284" w:right="282" w:firstLine="708"/>
        <w:jc w:val="both"/>
        <w:rPr>
          <w:rFonts w:ascii="Garamond" w:hAnsi="Garamond"/>
          <w:bCs/>
          <w:szCs w:val="28"/>
        </w:rPr>
      </w:pPr>
      <w:r w:rsidRPr="001B5298">
        <w:rPr>
          <w:rFonts w:ascii="Garamond" w:hAnsi="Garamond"/>
          <w:bCs/>
          <w:szCs w:val="28"/>
        </w:rPr>
        <w:t>Sin embargo, el elevado número de reservas realizadas al amparo del art</w:t>
      </w:r>
      <w:r>
        <w:rPr>
          <w:rFonts w:ascii="Garamond" w:hAnsi="Garamond"/>
          <w:bCs/>
          <w:szCs w:val="28"/>
        </w:rPr>
        <w:t>ículo</w:t>
      </w:r>
      <w:r w:rsidRPr="001B5298">
        <w:rPr>
          <w:rFonts w:ascii="Garamond" w:hAnsi="Garamond"/>
          <w:bCs/>
          <w:szCs w:val="28"/>
        </w:rPr>
        <w:t xml:space="preserve"> 16.2 ha supuesto que la traducción de la solicitud de asistencia y de la documentación anexa aparezca como una exigencia generalizada. </w:t>
      </w:r>
    </w:p>
    <w:p w14:paraId="36E865B2" w14:textId="77777777" w:rsidR="008E3DA3" w:rsidRDefault="008E3DA3" w:rsidP="008E3DA3">
      <w:pPr>
        <w:spacing w:line="276" w:lineRule="auto"/>
        <w:ind w:firstLine="708"/>
        <w:jc w:val="both"/>
        <w:rPr>
          <w:rFonts w:ascii="Garamond" w:hAnsi="Garamond"/>
          <w:bCs/>
          <w:sz w:val="28"/>
          <w:szCs w:val="28"/>
        </w:rPr>
      </w:pPr>
    </w:p>
    <w:p w14:paraId="0C9232B6"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Por lo demás, el art</w:t>
      </w:r>
      <w:r>
        <w:rPr>
          <w:rFonts w:ascii="Garamond" w:hAnsi="Garamond"/>
          <w:bCs/>
          <w:sz w:val="28"/>
          <w:szCs w:val="28"/>
        </w:rPr>
        <w:t>ículo</w:t>
      </w:r>
      <w:r w:rsidRPr="000C1FAD">
        <w:rPr>
          <w:rFonts w:ascii="Garamond" w:hAnsi="Garamond"/>
          <w:bCs/>
          <w:sz w:val="28"/>
          <w:szCs w:val="28"/>
        </w:rPr>
        <w:t xml:space="preserve"> 17 establece la exención de todas las formalidades de legalización respecto de los documentos que se transmitan en aplicación del convenio, y el art</w:t>
      </w:r>
      <w:r>
        <w:rPr>
          <w:rFonts w:ascii="Garamond" w:hAnsi="Garamond"/>
          <w:bCs/>
          <w:sz w:val="28"/>
          <w:szCs w:val="28"/>
        </w:rPr>
        <w:t>ículo</w:t>
      </w:r>
      <w:r w:rsidRPr="000C1FAD">
        <w:rPr>
          <w:rFonts w:ascii="Garamond" w:hAnsi="Garamond"/>
          <w:bCs/>
          <w:sz w:val="28"/>
          <w:szCs w:val="28"/>
        </w:rPr>
        <w:t xml:space="preserve"> 20 prevé que la ejecución de las solicitudes de asistencia no dará lugar al reembolso de gastos de ninguna clase salvo los gastos ocasionados por la intervención de peritos en el territorio de la parte requerida o para el traslado de personas detenidas al amparo del art</w:t>
      </w:r>
      <w:r>
        <w:rPr>
          <w:rFonts w:ascii="Garamond" w:hAnsi="Garamond"/>
          <w:bCs/>
          <w:sz w:val="28"/>
          <w:szCs w:val="28"/>
        </w:rPr>
        <w:t>ículo</w:t>
      </w:r>
      <w:r w:rsidRPr="000C1FAD">
        <w:rPr>
          <w:rFonts w:ascii="Garamond" w:hAnsi="Garamond"/>
          <w:bCs/>
          <w:sz w:val="28"/>
          <w:szCs w:val="28"/>
        </w:rPr>
        <w:t xml:space="preserve"> 11 del propio convenio.</w:t>
      </w:r>
    </w:p>
    <w:p w14:paraId="5FB029CF"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Con respecto a las vías de transmisión, las Comisiones Rogatorias se cursan normalmente entre los Ministerios de Justicia respectivos, aunque en casos de urgencia se permite la transmisión directa entre autoridades judiciales. Las demás solicitudes pueden realizarse directamente entre autoridades judiciales, admitiéndose el conducto de la Organización Internacional de la Policía Criminal (INTERPOL).</w:t>
      </w:r>
    </w:p>
    <w:p w14:paraId="0440E529" w14:textId="77777777" w:rsidR="008E3DA3" w:rsidRPr="000C1FAD" w:rsidRDefault="008E3DA3" w:rsidP="008E3DA3">
      <w:pPr>
        <w:spacing w:line="276" w:lineRule="auto"/>
        <w:ind w:firstLine="708"/>
        <w:jc w:val="both"/>
        <w:rPr>
          <w:rFonts w:ascii="Garamond" w:hAnsi="Garamond"/>
          <w:bCs/>
          <w:sz w:val="28"/>
          <w:szCs w:val="28"/>
        </w:rPr>
      </w:pPr>
    </w:p>
    <w:p w14:paraId="48A40C24" w14:textId="77777777" w:rsidR="008E3DA3" w:rsidRPr="001B5298" w:rsidRDefault="008E3DA3" w:rsidP="008E3DA3">
      <w:pPr>
        <w:spacing w:line="276" w:lineRule="auto"/>
        <w:ind w:left="284" w:right="282" w:firstLine="708"/>
        <w:jc w:val="both"/>
        <w:rPr>
          <w:rFonts w:ascii="Garamond" w:hAnsi="Garamond"/>
          <w:bCs/>
          <w:szCs w:val="28"/>
        </w:rPr>
      </w:pPr>
      <w:r w:rsidRPr="001B5298">
        <w:rPr>
          <w:rFonts w:ascii="Garamond" w:hAnsi="Garamond"/>
          <w:bCs/>
          <w:szCs w:val="28"/>
        </w:rPr>
        <w:t>En 2001 el Consejo de Europa ha adoptado un Protocolo Adicional al Convenio dirigido fundamentalmente a la lucha contra el blanqueo y la corrupción. Este Protocolo suprime, en ciertos casos, la doble incriminación y el carácter político o fiscal del delito como motivo de denegación de la asistencia judicial.</w:t>
      </w:r>
    </w:p>
    <w:p w14:paraId="5872AE66" w14:textId="77777777" w:rsidR="008E3DA3" w:rsidRPr="000C1FAD" w:rsidRDefault="008E3DA3" w:rsidP="008E3DA3">
      <w:pPr>
        <w:spacing w:line="276" w:lineRule="auto"/>
        <w:ind w:firstLine="708"/>
        <w:jc w:val="both"/>
        <w:rPr>
          <w:rFonts w:ascii="Garamond" w:hAnsi="Garamond"/>
          <w:bCs/>
          <w:sz w:val="28"/>
          <w:szCs w:val="28"/>
        </w:rPr>
      </w:pPr>
    </w:p>
    <w:p w14:paraId="4299596B" w14:textId="77777777" w:rsidR="008E3DA3" w:rsidRPr="000C1FAD" w:rsidRDefault="008E3DA3" w:rsidP="008E3DA3">
      <w:pPr>
        <w:spacing w:line="276" w:lineRule="auto"/>
        <w:jc w:val="both"/>
        <w:rPr>
          <w:rFonts w:ascii="Garamond" w:hAnsi="Garamond"/>
          <w:bCs/>
          <w:sz w:val="28"/>
          <w:szCs w:val="28"/>
        </w:rPr>
      </w:pPr>
      <w:r w:rsidRPr="000C1FAD">
        <w:rPr>
          <w:rFonts w:ascii="Garamond" w:hAnsi="Garamond"/>
          <w:bCs/>
          <w:sz w:val="28"/>
          <w:szCs w:val="28"/>
        </w:rPr>
        <w:tab/>
        <w:t>b) El Convenio Europeo de extradición fue firmado en 1957 por los países miembros del Consejo de Europa con el fin de someter a una misma regla las extradiciones que se produjeran entre los países signatarios. Diversos Estados se adhirieron posteriormente, entre ellos, España por Instrumento de 21 de abril de 1982. Sustituyó a cualquier Tratado, Convenio o Acuerdo bilateral regulador de la extradición entre los Estados contratantes, que sólo podrían concluir entre ellos Acuerdos bilaterales para completar las disposiciones del Convenio o para facilitar su aplicación.</w:t>
      </w:r>
    </w:p>
    <w:p w14:paraId="100839F6" w14:textId="77777777" w:rsidR="008E3DA3" w:rsidRPr="000C1FAD"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t>En definitiva, el Convenio Europeo de Extradición, con sus múltiples modificaciones posteriores, ha sido la piedra angular de la extradición hasta nuestros días. Ahora bien, la Decisión Marco del Consejo, de 13 de junio de 2002, supone el final de su aplicación, pues a partir de 1 de julio de 2004 los textos nacionales de transposición de esta Decisión sustituyen a todo texto vigente en materia de extradición, incluido el Convenio de 1957.</w:t>
      </w:r>
    </w:p>
    <w:p w14:paraId="26A44EE9" w14:textId="77777777" w:rsidR="008E3DA3" w:rsidRDefault="008E3DA3" w:rsidP="008E3DA3">
      <w:pPr>
        <w:spacing w:line="276" w:lineRule="auto"/>
        <w:ind w:firstLine="708"/>
        <w:jc w:val="both"/>
        <w:rPr>
          <w:rFonts w:ascii="Garamond" w:hAnsi="Garamond"/>
          <w:bCs/>
          <w:sz w:val="28"/>
          <w:szCs w:val="28"/>
        </w:rPr>
      </w:pPr>
      <w:r w:rsidRPr="000C1FAD">
        <w:rPr>
          <w:rFonts w:ascii="Garamond" w:hAnsi="Garamond"/>
          <w:bCs/>
          <w:sz w:val="28"/>
          <w:szCs w:val="28"/>
        </w:rPr>
        <w:lastRenderedPageBreak/>
        <w:t>Con todo, aspectos esenciales del Convenio, como los principios en los que se basa la extradición, su ámbito de aplicación y las causas de denegación de la misma, fueron posteriormente acogidos por nuestra Ley de Extradición Pasiva de 21 de marzo de 1985</w:t>
      </w:r>
      <w:r>
        <w:rPr>
          <w:rFonts w:ascii="Garamond" w:hAnsi="Garamond"/>
          <w:bCs/>
          <w:sz w:val="28"/>
          <w:szCs w:val="28"/>
        </w:rPr>
        <w:t>, que por su importancia pasamos a examinar</w:t>
      </w:r>
      <w:r w:rsidRPr="000C1FAD">
        <w:rPr>
          <w:rFonts w:ascii="Garamond" w:hAnsi="Garamond"/>
          <w:bCs/>
          <w:sz w:val="28"/>
          <w:szCs w:val="28"/>
        </w:rPr>
        <w:t>.</w:t>
      </w:r>
    </w:p>
    <w:p w14:paraId="0874117F" w14:textId="77777777" w:rsidR="008E3DA3" w:rsidRPr="000C1FAD" w:rsidRDefault="008E3DA3" w:rsidP="008E3DA3">
      <w:pPr>
        <w:spacing w:line="276" w:lineRule="auto"/>
        <w:ind w:firstLine="708"/>
        <w:jc w:val="both"/>
        <w:rPr>
          <w:rFonts w:ascii="Garamond" w:hAnsi="Garamond"/>
          <w:bCs/>
          <w:sz w:val="28"/>
          <w:szCs w:val="28"/>
        </w:rPr>
      </w:pPr>
    </w:p>
    <w:p w14:paraId="67CFE83C" w14:textId="77777777" w:rsidR="008E3DA3" w:rsidRDefault="008E3DA3" w:rsidP="008E3DA3">
      <w:pPr>
        <w:spacing w:line="276" w:lineRule="auto"/>
        <w:ind w:firstLine="708"/>
        <w:jc w:val="both"/>
        <w:rPr>
          <w:rFonts w:ascii="Garamond" w:hAnsi="Garamond"/>
          <w:sz w:val="28"/>
          <w:szCs w:val="28"/>
        </w:rPr>
      </w:pPr>
      <w:r w:rsidRPr="000C1FAD">
        <w:rPr>
          <w:rFonts w:ascii="Garamond" w:hAnsi="Garamond"/>
          <w:sz w:val="28"/>
          <w:szCs w:val="28"/>
        </w:rPr>
        <w:t>La Ley de Extradición de 1985, que derogó la anterior de 1958, conserva o mantiene el sistema mixto gubernativo-judicial, y responde, en lo esencial, a los principios generales de:</w:t>
      </w:r>
    </w:p>
    <w:p w14:paraId="2E0D415B" w14:textId="77777777" w:rsidR="008E3DA3" w:rsidRPr="000C1FAD" w:rsidRDefault="008E3DA3" w:rsidP="008E3DA3">
      <w:pPr>
        <w:spacing w:line="276" w:lineRule="auto"/>
        <w:ind w:firstLine="708"/>
        <w:jc w:val="both"/>
        <w:rPr>
          <w:rFonts w:ascii="Garamond" w:hAnsi="Garamond"/>
          <w:sz w:val="28"/>
          <w:szCs w:val="28"/>
        </w:rPr>
      </w:pPr>
    </w:p>
    <w:p w14:paraId="4D9107B1" w14:textId="77777777" w:rsidR="008E3DA3" w:rsidRDefault="008E3DA3" w:rsidP="008E3DA3">
      <w:pPr>
        <w:spacing w:line="276" w:lineRule="auto"/>
        <w:ind w:firstLine="708"/>
        <w:jc w:val="both"/>
        <w:rPr>
          <w:rFonts w:ascii="Garamond" w:hAnsi="Garamond"/>
          <w:sz w:val="28"/>
          <w:szCs w:val="28"/>
        </w:rPr>
      </w:pPr>
      <w:r w:rsidRPr="000C1FAD">
        <w:rPr>
          <w:rFonts w:ascii="Garamond" w:hAnsi="Garamond"/>
          <w:sz w:val="28"/>
          <w:szCs w:val="28"/>
        </w:rPr>
        <w:t xml:space="preserve">1) Legalidad. No se admitirán otras causas de extradición que las expresamente consignadas en el Derecho escrito. </w:t>
      </w:r>
    </w:p>
    <w:p w14:paraId="4FE0DDA7" w14:textId="77777777" w:rsidR="008E3DA3" w:rsidRDefault="008E3DA3" w:rsidP="008E3DA3">
      <w:pPr>
        <w:spacing w:line="276" w:lineRule="auto"/>
        <w:ind w:firstLine="708"/>
        <w:jc w:val="both"/>
        <w:rPr>
          <w:rFonts w:ascii="Garamond" w:hAnsi="Garamond"/>
          <w:sz w:val="28"/>
          <w:szCs w:val="28"/>
        </w:rPr>
      </w:pPr>
    </w:p>
    <w:p w14:paraId="00A42D08" w14:textId="77777777" w:rsidR="008E3DA3" w:rsidRPr="001B5298" w:rsidRDefault="008E3DA3" w:rsidP="008E3DA3">
      <w:pPr>
        <w:spacing w:line="276" w:lineRule="auto"/>
        <w:ind w:left="284" w:right="282" w:firstLine="708"/>
        <w:jc w:val="both"/>
        <w:rPr>
          <w:rFonts w:ascii="Garamond" w:hAnsi="Garamond"/>
          <w:szCs w:val="28"/>
        </w:rPr>
      </w:pPr>
      <w:r w:rsidRPr="001B5298">
        <w:rPr>
          <w:rFonts w:ascii="Garamond" w:hAnsi="Garamond"/>
          <w:szCs w:val="28"/>
        </w:rPr>
        <w:t>En línea con este principio la Ley establece que “</w:t>
      </w:r>
      <w:r w:rsidRPr="003E2C11">
        <w:rPr>
          <w:rFonts w:ascii="Garamond" w:hAnsi="Garamond"/>
          <w:i/>
          <w:szCs w:val="28"/>
        </w:rPr>
        <w:t>las condiciones, procedimiento y efectos de la extradición pasiva se regirán por la presente Ley, excepto en lo expresamente previsto en los Tratados en los que España sea parte</w:t>
      </w:r>
      <w:r w:rsidRPr="001B5298">
        <w:rPr>
          <w:rFonts w:ascii="Garamond" w:hAnsi="Garamond"/>
          <w:szCs w:val="28"/>
        </w:rPr>
        <w:t>” (art. 1º).</w:t>
      </w:r>
    </w:p>
    <w:p w14:paraId="35604BD2" w14:textId="77777777" w:rsidR="008E3DA3" w:rsidRPr="000C1FAD" w:rsidRDefault="008E3DA3" w:rsidP="008E3DA3">
      <w:pPr>
        <w:spacing w:line="276" w:lineRule="auto"/>
        <w:ind w:firstLine="708"/>
        <w:jc w:val="both"/>
        <w:rPr>
          <w:rFonts w:ascii="Garamond" w:hAnsi="Garamond"/>
          <w:sz w:val="28"/>
          <w:szCs w:val="28"/>
        </w:rPr>
      </w:pPr>
    </w:p>
    <w:p w14:paraId="4A498ECE" w14:textId="77777777" w:rsidR="008E3DA3" w:rsidRPr="000C1FAD" w:rsidRDefault="008E3DA3" w:rsidP="008E3DA3">
      <w:pPr>
        <w:spacing w:line="276" w:lineRule="auto"/>
        <w:ind w:firstLine="708"/>
        <w:jc w:val="both"/>
        <w:rPr>
          <w:rFonts w:ascii="Garamond" w:hAnsi="Garamond"/>
          <w:sz w:val="28"/>
          <w:szCs w:val="28"/>
        </w:rPr>
      </w:pPr>
      <w:r w:rsidRPr="000C1FAD">
        <w:rPr>
          <w:rFonts w:ascii="Garamond" w:hAnsi="Garamond"/>
          <w:sz w:val="28"/>
          <w:szCs w:val="28"/>
        </w:rPr>
        <w:t>2) Identidad normativa o doble incriminación. El hecho que motiva la extradición ha de constituir delito según las legislaciones del Estado requirente y del requerido.</w:t>
      </w:r>
    </w:p>
    <w:p w14:paraId="02F8602D" w14:textId="77777777" w:rsidR="008E3DA3" w:rsidRDefault="008E3DA3" w:rsidP="008E3DA3">
      <w:pPr>
        <w:spacing w:line="276" w:lineRule="auto"/>
        <w:ind w:firstLine="708"/>
        <w:jc w:val="both"/>
        <w:rPr>
          <w:rFonts w:ascii="Garamond" w:hAnsi="Garamond"/>
          <w:sz w:val="28"/>
          <w:szCs w:val="28"/>
        </w:rPr>
      </w:pPr>
      <w:r w:rsidRPr="000C1FAD">
        <w:rPr>
          <w:rFonts w:ascii="Garamond" w:hAnsi="Garamond"/>
          <w:sz w:val="28"/>
          <w:szCs w:val="28"/>
        </w:rPr>
        <w:t>3) Especialidad: el extraditado no puede ser juzgado por ningún delito distinto del que motivó la extradición.</w:t>
      </w:r>
    </w:p>
    <w:p w14:paraId="0D8E465D" w14:textId="77777777" w:rsidR="008E3DA3" w:rsidRDefault="008E3DA3" w:rsidP="008E3DA3">
      <w:pPr>
        <w:spacing w:line="276" w:lineRule="auto"/>
        <w:ind w:firstLine="708"/>
        <w:jc w:val="both"/>
        <w:rPr>
          <w:rFonts w:ascii="Garamond" w:hAnsi="Garamond"/>
          <w:sz w:val="28"/>
          <w:szCs w:val="28"/>
        </w:rPr>
      </w:pPr>
    </w:p>
    <w:p w14:paraId="262E111E" w14:textId="77777777" w:rsidR="008E3DA3" w:rsidRDefault="008E3DA3" w:rsidP="008E3DA3">
      <w:pPr>
        <w:spacing w:line="276" w:lineRule="auto"/>
        <w:ind w:firstLine="708"/>
        <w:jc w:val="both"/>
        <w:rPr>
          <w:rFonts w:ascii="Garamond" w:hAnsi="Garamond"/>
          <w:i/>
          <w:szCs w:val="28"/>
        </w:rPr>
      </w:pPr>
      <w:r w:rsidRPr="000C1FAD">
        <w:rPr>
          <w:rFonts w:ascii="Garamond" w:hAnsi="Garamond"/>
          <w:sz w:val="28"/>
          <w:szCs w:val="28"/>
        </w:rPr>
        <w:t xml:space="preserve"> </w:t>
      </w:r>
      <w:r>
        <w:rPr>
          <w:rFonts w:ascii="Garamond" w:hAnsi="Garamond"/>
          <w:szCs w:val="28"/>
        </w:rPr>
        <w:t>“</w:t>
      </w:r>
      <w:r w:rsidRPr="001B5298">
        <w:rPr>
          <w:rFonts w:ascii="Garamond" w:hAnsi="Garamond"/>
          <w:i/>
          <w:szCs w:val="28"/>
        </w:rPr>
        <w:t>Para que una persona que haya sido entregada pueda ser juzgada, sentenciada o sometida a cualquier restricción de libertad personal, por hechos anteriores y distintos a los que hubieren motivado su extradición, será preciso autorización ampliatoria de la extradición concedida</w:t>
      </w:r>
      <w:r>
        <w:rPr>
          <w:rFonts w:ascii="Garamond" w:hAnsi="Garamond"/>
          <w:szCs w:val="28"/>
        </w:rPr>
        <w:t>”</w:t>
      </w:r>
      <w:r w:rsidRPr="001B5298">
        <w:rPr>
          <w:rFonts w:ascii="Garamond" w:hAnsi="Garamond"/>
          <w:i/>
          <w:szCs w:val="28"/>
        </w:rPr>
        <w:t xml:space="preserve"> </w:t>
      </w:r>
      <w:r w:rsidRPr="001B5298">
        <w:rPr>
          <w:rFonts w:ascii="Garamond" w:hAnsi="Garamond"/>
          <w:szCs w:val="28"/>
        </w:rPr>
        <w:t>(art. 21).</w:t>
      </w:r>
    </w:p>
    <w:p w14:paraId="50536046" w14:textId="77777777" w:rsidR="008E3DA3" w:rsidRPr="001B5298" w:rsidRDefault="008E3DA3" w:rsidP="008E3DA3">
      <w:pPr>
        <w:spacing w:line="276" w:lineRule="auto"/>
        <w:ind w:firstLine="708"/>
        <w:jc w:val="both"/>
        <w:rPr>
          <w:rFonts w:ascii="Garamond" w:hAnsi="Garamond"/>
          <w:b/>
          <w:bCs/>
          <w:i/>
          <w:szCs w:val="28"/>
        </w:rPr>
      </w:pPr>
    </w:p>
    <w:p w14:paraId="29A135FF" w14:textId="77777777" w:rsidR="008E3DA3" w:rsidRDefault="008E3DA3" w:rsidP="008E3DA3">
      <w:pPr>
        <w:spacing w:line="276" w:lineRule="auto"/>
        <w:ind w:firstLine="708"/>
        <w:jc w:val="both"/>
        <w:rPr>
          <w:rFonts w:ascii="Garamond" w:hAnsi="Garamond"/>
          <w:sz w:val="28"/>
          <w:szCs w:val="28"/>
        </w:rPr>
      </w:pPr>
      <w:r w:rsidRPr="000C1FAD">
        <w:rPr>
          <w:rFonts w:ascii="Garamond" w:hAnsi="Garamond"/>
          <w:sz w:val="28"/>
          <w:szCs w:val="28"/>
        </w:rPr>
        <w:t>4) Reciprocidad. Establecido en el artículo 13.3 de la Constitución</w:t>
      </w:r>
      <w:r>
        <w:rPr>
          <w:rFonts w:ascii="Garamond" w:hAnsi="Garamond"/>
          <w:sz w:val="28"/>
          <w:szCs w:val="28"/>
        </w:rPr>
        <w:t>: “</w:t>
      </w:r>
      <w:r w:rsidRPr="001B5298">
        <w:rPr>
          <w:rFonts w:ascii="Garamond" w:hAnsi="Garamond"/>
          <w:i/>
          <w:sz w:val="28"/>
          <w:szCs w:val="28"/>
        </w:rPr>
        <w:t>La extradición sólo se concederá en cumplimiento de un tratado o de la ley, atendiendo al principio de reciprocidad. Quedan excluidos de la extradición los delitos políticos, no considerándose como tales los actos de terrorismo</w:t>
      </w:r>
      <w:r>
        <w:rPr>
          <w:rFonts w:ascii="Garamond" w:hAnsi="Garamond"/>
          <w:sz w:val="28"/>
          <w:szCs w:val="28"/>
        </w:rPr>
        <w:t>”.</w:t>
      </w:r>
    </w:p>
    <w:p w14:paraId="28A145F0" w14:textId="77777777" w:rsidR="008E3DA3" w:rsidRPr="000C1FAD" w:rsidRDefault="008E3DA3" w:rsidP="008E3DA3">
      <w:pPr>
        <w:spacing w:line="276" w:lineRule="auto"/>
        <w:ind w:firstLine="708"/>
        <w:jc w:val="both"/>
        <w:rPr>
          <w:rFonts w:ascii="Garamond" w:hAnsi="Garamond"/>
          <w:sz w:val="28"/>
          <w:szCs w:val="28"/>
        </w:rPr>
      </w:pPr>
    </w:p>
    <w:p w14:paraId="4E04DAE8" w14:textId="77777777" w:rsidR="008E3DA3" w:rsidRPr="00AA01B3" w:rsidRDefault="008E3DA3" w:rsidP="008E3DA3">
      <w:pPr>
        <w:spacing w:line="276" w:lineRule="auto"/>
        <w:ind w:firstLine="708"/>
        <w:jc w:val="both"/>
        <w:rPr>
          <w:rFonts w:ascii="Garamond" w:hAnsi="Garamond"/>
          <w:sz w:val="28"/>
          <w:szCs w:val="28"/>
        </w:rPr>
      </w:pPr>
      <w:r w:rsidRPr="00AA01B3">
        <w:rPr>
          <w:rFonts w:ascii="Garamond" w:hAnsi="Garamond"/>
          <w:sz w:val="28"/>
          <w:szCs w:val="28"/>
        </w:rPr>
        <w:t>No se concederá la extradición de españoles, ni de los extranjeros por delitos de que corresponda conocer a los Tribunales españoles</w:t>
      </w:r>
      <w:r>
        <w:rPr>
          <w:rFonts w:ascii="Garamond" w:hAnsi="Garamond"/>
          <w:sz w:val="28"/>
          <w:szCs w:val="28"/>
        </w:rPr>
        <w:t xml:space="preserve"> (art. 3).</w:t>
      </w:r>
    </w:p>
    <w:p w14:paraId="2B4EE481" w14:textId="77777777" w:rsidR="008E3DA3" w:rsidRDefault="008E3DA3" w:rsidP="008E3DA3">
      <w:pPr>
        <w:spacing w:line="276" w:lineRule="auto"/>
        <w:ind w:firstLine="708"/>
        <w:jc w:val="both"/>
        <w:rPr>
          <w:rFonts w:ascii="Garamond" w:hAnsi="Garamond"/>
          <w:sz w:val="28"/>
          <w:szCs w:val="28"/>
        </w:rPr>
      </w:pPr>
      <w:r>
        <w:rPr>
          <w:rFonts w:ascii="Garamond" w:hAnsi="Garamond"/>
          <w:sz w:val="28"/>
          <w:szCs w:val="28"/>
        </w:rPr>
        <w:t xml:space="preserve">Tampoco se </w:t>
      </w:r>
      <w:r w:rsidRPr="00AA01B3">
        <w:rPr>
          <w:rFonts w:ascii="Garamond" w:hAnsi="Garamond"/>
          <w:sz w:val="28"/>
          <w:szCs w:val="28"/>
        </w:rPr>
        <w:t>concederá la extradición en los casos siguientes</w:t>
      </w:r>
      <w:r>
        <w:rPr>
          <w:rFonts w:ascii="Garamond" w:hAnsi="Garamond"/>
          <w:sz w:val="28"/>
          <w:szCs w:val="28"/>
        </w:rPr>
        <w:t xml:space="preserve"> (art. 4)</w:t>
      </w:r>
      <w:r w:rsidRPr="00AA01B3">
        <w:rPr>
          <w:rFonts w:ascii="Garamond" w:hAnsi="Garamond"/>
          <w:sz w:val="28"/>
          <w:szCs w:val="28"/>
        </w:rPr>
        <w:t>:</w:t>
      </w:r>
    </w:p>
    <w:p w14:paraId="0CA0E3C3" w14:textId="77777777" w:rsidR="008E3DA3" w:rsidRPr="00AA01B3" w:rsidRDefault="008E3DA3" w:rsidP="008E3DA3">
      <w:pPr>
        <w:spacing w:line="276" w:lineRule="auto"/>
        <w:ind w:firstLine="708"/>
        <w:jc w:val="both"/>
        <w:rPr>
          <w:rFonts w:ascii="Garamond" w:hAnsi="Garamond"/>
          <w:sz w:val="28"/>
          <w:szCs w:val="28"/>
        </w:rPr>
      </w:pPr>
    </w:p>
    <w:p w14:paraId="134E5A7A" w14:textId="77777777" w:rsidR="008E3DA3" w:rsidRPr="00AA01B3" w:rsidRDefault="008E3DA3" w:rsidP="008E3DA3">
      <w:pPr>
        <w:spacing w:line="276" w:lineRule="auto"/>
        <w:ind w:firstLine="708"/>
        <w:jc w:val="both"/>
        <w:rPr>
          <w:rFonts w:ascii="Garamond" w:hAnsi="Garamond"/>
          <w:sz w:val="28"/>
          <w:szCs w:val="28"/>
        </w:rPr>
      </w:pPr>
      <w:r>
        <w:rPr>
          <w:rFonts w:ascii="Garamond" w:hAnsi="Garamond"/>
          <w:sz w:val="28"/>
          <w:szCs w:val="28"/>
        </w:rPr>
        <w:tab/>
        <w:t>-</w:t>
      </w:r>
      <w:r w:rsidRPr="00AA01B3">
        <w:rPr>
          <w:rFonts w:ascii="Garamond" w:hAnsi="Garamond"/>
          <w:sz w:val="28"/>
          <w:szCs w:val="28"/>
        </w:rPr>
        <w:t>Cuando se trate de delitos de carácter polític</w:t>
      </w:r>
      <w:r>
        <w:rPr>
          <w:rFonts w:ascii="Garamond" w:hAnsi="Garamond"/>
          <w:sz w:val="28"/>
          <w:szCs w:val="28"/>
        </w:rPr>
        <w:t xml:space="preserve">o, </w:t>
      </w:r>
      <w:r w:rsidRPr="00AA01B3">
        <w:rPr>
          <w:rFonts w:ascii="Garamond" w:hAnsi="Garamond"/>
          <w:sz w:val="28"/>
          <w:szCs w:val="28"/>
        </w:rPr>
        <w:t>delitos militares; de los cometidos a través de los medios de comunicación social en el ejercicio de la libertad de expresión, y de los que sólo son perseguibles a instancia de parte.</w:t>
      </w:r>
    </w:p>
    <w:p w14:paraId="3FF1BB5C" w14:textId="77777777" w:rsidR="008E3DA3" w:rsidRPr="00AA01B3" w:rsidRDefault="008E3DA3" w:rsidP="008E3DA3">
      <w:pPr>
        <w:spacing w:line="276" w:lineRule="auto"/>
        <w:ind w:firstLine="708"/>
        <w:jc w:val="both"/>
        <w:rPr>
          <w:rFonts w:ascii="Garamond" w:hAnsi="Garamond"/>
          <w:sz w:val="28"/>
          <w:szCs w:val="28"/>
        </w:rPr>
      </w:pPr>
      <w:r>
        <w:rPr>
          <w:rFonts w:ascii="Garamond" w:hAnsi="Garamond"/>
          <w:sz w:val="28"/>
          <w:szCs w:val="28"/>
        </w:rPr>
        <w:lastRenderedPageBreak/>
        <w:tab/>
        <w:t>-</w:t>
      </w:r>
      <w:r w:rsidRPr="00AA01B3">
        <w:rPr>
          <w:rFonts w:ascii="Garamond" w:hAnsi="Garamond"/>
          <w:sz w:val="28"/>
          <w:szCs w:val="28"/>
        </w:rPr>
        <w:t>Cuando la persona reclamada deba ser juzgada por un Tribunal de excepción.</w:t>
      </w:r>
    </w:p>
    <w:p w14:paraId="37AD8560" w14:textId="77777777" w:rsidR="008E3DA3" w:rsidRPr="00AA01B3" w:rsidRDefault="008E3DA3" w:rsidP="008E3DA3">
      <w:pPr>
        <w:spacing w:line="276" w:lineRule="auto"/>
        <w:ind w:firstLine="708"/>
        <w:jc w:val="both"/>
        <w:rPr>
          <w:rFonts w:ascii="Garamond" w:hAnsi="Garamond"/>
          <w:sz w:val="28"/>
          <w:szCs w:val="28"/>
        </w:rPr>
      </w:pPr>
      <w:r>
        <w:rPr>
          <w:rFonts w:ascii="Garamond" w:hAnsi="Garamond"/>
          <w:sz w:val="28"/>
          <w:szCs w:val="28"/>
        </w:rPr>
        <w:tab/>
        <w:t>-</w:t>
      </w:r>
      <w:r w:rsidRPr="00AA01B3">
        <w:rPr>
          <w:rFonts w:ascii="Garamond" w:hAnsi="Garamond"/>
          <w:sz w:val="28"/>
          <w:szCs w:val="28"/>
        </w:rPr>
        <w:t>Cuando se haya extinguido la responsabilidad criminal, conforme a la legislación española o la del Estado requirente.</w:t>
      </w:r>
    </w:p>
    <w:p w14:paraId="16E27C42" w14:textId="77777777" w:rsidR="008E3DA3" w:rsidRPr="00AA01B3" w:rsidRDefault="008E3DA3" w:rsidP="008E3DA3">
      <w:pPr>
        <w:spacing w:line="276" w:lineRule="auto"/>
        <w:ind w:firstLine="708"/>
        <w:jc w:val="both"/>
        <w:rPr>
          <w:rFonts w:ascii="Garamond" w:hAnsi="Garamond"/>
          <w:sz w:val="28"/>
          <w:szCs w:val="28"/>
        </w:rPr>
      </w:pPr>
      <w:r>
        <w:rPr>
          <w:rFonts w:ascii="Garamond" w:hAnsi="Garamond"/>
          <w:sz w:val="28"/>
          <w:szCs w:val="28"/>
        </w:rPr>
        <w:tab/>
        <w:t>-</w:t>
      </w:r>
      <w:r w:rsidRPr="00AA01B3">
        <w:rPr>
          <w:rFonts w:ascii="Garamond" w:hAnsi="Garamond"/>
          <w:sz w:val="28"/>
          <w:szCs w:val="28"/>
        </w:rPr>
        <w:t>Cuando la persona reclamada haya sido juzgada o lo esté siendo en España por los mismos hechos.</w:t>
      </w:r>
    </w:p>
    <w:p w14:paraId="09C5B54A" w14:textId="77777777" w:rsidR="008E3DA3" w:rsidRPr="00AA01B3" w:rsidRDefault="008E3DA3" w:rsidP="008E3DA3">
      <w:pPr>
        <w:spacing w:line="276" w:lineRule="auto"/>
        <w:ind w:firstLine="708"/>
        <w:jc w:val="both"/>
        <w:rPr>
          <w:rFonts w:ascii="Garamond" w:hAnsi="Garamond"/>
          <w:sz w:val="28"/>
          <w:szCs w:val="28"/>
        </w:rPr>
      </w:pPr>
      <w:r>
        <w:rPr>
          <w:rFonts w:ascii="Garamond" w:hAnsi="Garamond"/>
          <w:sz w:val="28"/>
          <w:szCs w:val="28"/>
        </w:rPr>
        <w:tab/>
        <w:t>-</w:t>
      </w:r>
      <w:r w:rsidRPr="00AA01B3">
        <w:rPr>
          <w:rFonts w:ascii="Garamond" w:hAnsi="Garamond"/>
          <w:sz w:val="28"/>
          <w:szCs w:val="28"/>
        </w:rPr>
        <w:t>Cuando el Estado requirente no diera la garantía de que la persona reclamada de extradición no será ejecutada o que no será sometida a penas que atenten a su integridad corporal o a tratos inhumanos o degradantes.</w:t>
      </w:r>
    </w:p>
    <w:p w14:paraId="00C88C09" w14:textId="77777777" w:rsidR="008E3DA3" w:rsidRDefault="008E3DA3" w:rsidP="008E3DA3">
      <w:pPr>
        <w:spacing w:line="276" w:lineRule="auto"/>
        <w:ind w:firstLine="708"/>
        <w:jc w:val="both"/>
        <w:rPr>
          <w:rFonts w:ascii="Garamond" w:hAnsi="Garamond"/>
          <w:sz w:val="28"/>
          <w:szCs w:val="28"/>
        </w:rPr>
      </w:pPr>
      <w:r>
        <w:rPr>
          <w:rFonts w:ascii="Garamond" w:hAnsi="Garamond"/>
          <w:sz w:val="28"/>
          <w:szCs w:val="28"/>
        </w:rPr>
        <w:tab/>
        <w:t>-</w:t>
      </w:r>
      <w:r w:rsidRPr="00AA01B3">
        <w:rPr>
          <w:rFonts w:ascii="Garamond" w:hAnsi="Garamond"/>
          <w:sz w:val="28"/>
          <w:szCs w:val="28"/>
        </w:rPr>
        <w:t xml:space="preserve"> Cuando a la persona reclamada le hubiere sido reconocida la condición de asilado. </w:t>
      </w:r>
    </w:p>
    <w:p w14:paraId="28B0F8EE" w14:textId="77777777" w:rsidR="008E3DA3" w:rsidRPr="00AA01B3" w:rsidRDefault="008E3DA3" w:rsidP="008E3DA3">
      <w:pPr>
        <w:spacing w:line="276" w:lineRule="auto"/>
        <w:ind w:firstLine="708"/>
        <w:jc w:val="both"/>
        <w:rPr>
          <w:rFonts w:ascii="Garamond" w:hAnsi="Garamond"/>
          <w:sz w:val="28"/>
          <w:szCs w:val="28"/>
        </w:rPr>
      </w:pPr>
    </w:p>
    <w:p w14:paraId="284A9D21" w14:textId="77777777" w:rsidR="008E3DA3" w:rsidRPr="001B5298" w:rsidRDefault="008E3DA3" w:rsidP="008E3DA3">
      <w:pPr>
        <w:spacing w:line="276" w:lineRule="auto"/>
        <w:ind w:left="284" w:right="282" w:firstLine="424"/>
        <w:jc w:val="both"/>
        <w:rPr>
          <w:rFonts w:ascii="Garamond" w:hAnsi="Garamond"/>
          <w:szCs w:val="28"/>
        </w:rPr>
      </w:pPr>
      <w:r w:rsidRPr="001B5298">
        <w:rPr>
          <w:rFonts w:ascii="Garamond" w:hAnsi="Garamond"/>
          <w:szCs w:val="28"/>
        </w:rPr>
        <w:t>Asimismo, podrá denegarse la extradición (art. 5):</w:t>
      </w:r>
    </w:p>
    <w:p w14:paraId="517AB1B9" w14:textId="77777777" w:rsidR="008E3DA3" w:rsidRPr="001B5298" w:rsidRDefault="008E3DA3" w:rsidP="008E3DA3">
      <w:pPr>
        <w:spacing w:line="276" w:lineRule="auto"/>
        <w:ind w:left="284" w:right="282" w:firstLine="424"/>
        <w:jc w:val="both"/>
        <w:rPr>
          <w:rFonts w:ascii="Garamond" w:hAnsi="Garamond"/>
          <w:szCs w:val="28"/>
        </w:rPr>
      </w:pPr>
      <w:r w:rsidRPr="001B5298">
        <w:rPr>
          <w:rFonts w:ascii="Garamond" w:hAnsi="Garamond"/>
          <w:szCs w:val="28"/>
        </w:rPr>
        <w:tab/>
        <w:t>-Si se tuvieran razones fundadas para creer que la solicitud de extradición, motivada por un delito de naturaleza común, se ha presentado con el fin de perseguir o castigar a una persona por consideraciones de raza, religión, nacionalidad u opiniones políticas, o que la situación de dicha persona corre el riesgo de verse agravada por tales consideraciones.</w:t>
      </w:r>
    </w:p>
    <w:p w14:paraId="6B00E746" w14:textId="77777777" w:rsidR="008E3DA3" w:rsidRPr="001B5298" w:rsidRDefault="008E3DA3" w:rsidP="008E3DA3">
      <w:pPr>
        <w:spacing w:line="276" w:lineRule="auto"/>
        <w:ind w:left="284" w:right="282" w:firstLine="424"/>
        <w:jc w:val="both"/>
        <w:rPr>
          <w:rFonts w:ascii="Garamond" w:hAnsi="Garamond"/>
          <w:szCs w:val="28"/>
        </w:rPr>
      </w:pPr>
      <w:r w:rsidRPr="001B5298">
        <w:rPr>
          <w:rFonts w:ascii="Garamond" w:hAnsi="Garamond"/>
          <w:szCs w:val="28"/>
        </w:rPr>
        <w:tab/>
        <w:t>-Cuando la persona reclamada sea menor de dieciocho años en el momento de la demanda de extradición.</w:t>
      </w:r>
    </w:p>
    <w:p w14:paraId="1CB56184" w14:textId="77777777" w:rsidR="008E3DA3" w:rsidRPr="000C1FAD" w:rsidRDefault="008E3DA3" w:rsidP="008E3DA3">
      <w:pPr>
        <w:spacing w:line="276" w:lineRule="auto"/>
        <w:ind w:firstLine="708"/>
        <w:jc w:val="both"/>
        <w:rPr>
          <w:rFonts w:ascii="Garamond" w:hAnsi="Garamond"/>
          <w:sz w:val="28"/>
          <w:szCs w:val="28"/>
        </w:rPr>
      </w:pPr>
    </w:p>
    <w:p w14:paraId="756ACCCE" w14:textId="77777777" w:rsidR="008E3DA3" w:rsidRPr="000C1FAD" w:rsidRDefault="008E3DA3" w:rsidP="008E3DA3">
      <w:pPr>
        <w:spacing w:line="276" w:lineRule="auto"/>
        <w:ind w:firstLine="708"/>
        <w:jc w:val="both"/>
        <w:rPr>
          <w:rFonts w:ascii="Garamond" w:hAnsi="Garamond"/>
          <w:sz w:val="28"/>
          <w:szCs w:val="28"/>
        </w:rPr>
      </w:pPr>
      <w:r w:rsidRPr="000C1FAD">
        <w:rPr>
          <w:rFonts w:ascii="Garamond" w:hAnsi="Garamond"/>
          <w:sz w:val="28"/>
          <w:szCs w:val="28"/>
        </w:rPr>
        <w:t xml:space="preserve">El procedimiento comprende una fase gubernativa previa y otra judicial. </w:t>
      </w:r>
    </w:p>
    <w:p w14:paraId="1D400275" w14:textId="77777777" w:rsidR="008E3DA3" w:rsidRPr="000C1FAD" w:rsidRDefault="008E3DA3" w:rsidP="008E3DA3">
      <w:pPr>
        <w:spacing w:line="276" w:lineRule="auto"/>
        <w:ind w:firstLine="708"/>
        <w:jc w:val="both"/>
        <w:rPr>
          <w:rFonts w:ascii="Garamond" w:hAnsi="Garamond"/>
          <w:sz w:val="28"/>
          <w:szCs w:val="28"/>
        </w:rPr>
      </w:pPr>
      <w:r w:rsidRPr="000C1FAD">
        <w:rPr>
          <w:rFonts w:ascii="Garamond" w:hAnsi="Garamond"/>
          <w:sz w:val="28"/>
          <w:szCs w:val="28"/>
        </w:rPr>
        <w:t>La fase judicial sólo se abre cuando el Gobierno acuerda la continuación del procedimiento, en cuyo caso remitirá el expediente al Juzgado Central de Instrucción. Éste ordenará la inmediata comparecencia del reclamado, quien podrá hacerlo asistido de Abogado y, en su caso, de intérprete. Se citará siempre al Ministerio Fiscal. Si el reclamado consiente la extradición y el Juez la considera procedente, podrá acceder en este momento a ella. En otro caso, elevará lo actuado a la Sala de lo Penal de la Audiencia Nacional que resolverá lo procedente, previa celebración de una vista.</w:t>
      </w:r>
    </w:p>
    <w:p w14:paraId="3BAB13A7" w14:textId="77777777" w:rsidR="008E3DA3" w:rsidRPr="000C1FAD" w:rsidRDefault="008E3DA3" w:rsidP="008E3DA3">
      <w:pPr>
        <w:spacing w:line="276" w:lineRule="auto"/>
        <w:ind w:firstLine="708"/>
        <w:jc w:val="both"/>
        <w:rPr>
          <w:rFonts w:ascii="Garamond" w:hAnsi="Garamond"/>
          <w:sz w:val="28"/>
          <w:szCs w:val="28"/>
        </w:rPr>
      </w:pPr>
      <w:r w:rsidRPr="000C1FAD">
        <w:rPr>
          <w:rFonts w:ascii="Garamond" w:hAnsi="Garamond"/>
          <w:sz w:val="28"/>
          <w:szCs w:val="28"/>
        </w:rPr>
        <w:t xml:space="preserve"> Aunque el Tribunal declare procedente la extradición, el Gobierno tiene la facultad de denegarla, atendiendo al principio de reciprocidad o a razones de seguridad, orden público o demás intereses esenciales de España (art. 6).</w:t>
      </w:r>
    </w:p>
    <w:p w14:paraId="2D1DBCA5" w14:textId="77777777" w:rsidR="008E3DA3" w:rsidRPr="000C1FAD" w:rsidRDefault="008E3DA3" w:rsidP="008E3DA3">
      <w:pPr>
        <w:spacing w:line="276" w:lineRule="auto"/>
        <w:ind w:firstLine="708"/>
        <w:jc w:val="center"/>
        <w:rPr>
          <w:rFonts w:ascii="Garamond" w:hAnsi="Garamond"/>
          <w:bCs/>
          <w:sz w:val="28"/>
          <w:szCs w:val="28"/>
        </w:rPr>
      </w:pPr>
    </w:p>
    <w:p w14:paraId="68DACAA6" w14:textId="77777777" w:rsidR="00C622C3" w:rsidRPr="00450A0B" w:rsidRDefault="00C622C3" w:rsidP="00CE2F00">
      <w:pPr>
        <w:ind w:firstLine="708"/>
        <w:jc w:val="center"/>
        <w:rPr>
          <w:rFonts w:ascii="Garamond" w:hAnsi="Garamond"/>
          <w:sz w:val="26"/>
          <w:szCs w:val="26"/>
        </w:rPr>
      </w:pPr>
      <w:r>
        <w:rPr>
          <w:rFonts w:ascii="Garamond" w:hAnsi="Garamond"/>
          <w:sz w:val="26"/>
          <w:szCs w:val="26"/>
        </w:rPr>
        <w:t>* * *</w:t>
      </w:r>
    </w:p>
    <w:p w14:paraId="2C9D31CD" w14:textId="77777777" w:rsidR="000A23DA" w:rsidRDefault="000A23DA" w:rsidP="00CE2F00">
      <w:pPr>
        <w:jc w:val="both"/>
        <w:rPr>
          <w:rFonts w:ascii="Garamond" w:hAnsi="Garamond"/>
          <w:sz w:val="26"/>
          <w:szCs w:val="26"/>
        </w:rPr>
      </w:pPr>
    </w:p>
    <w:sectPr w:rsidR="000A23DA" w:rsidSect="0084445E">
      <w:headerReference w:type="even" r:id="rId6"/>
      <w:footerReference w:type="default" r:id="rId7"/>
      <w:footerReference w:type="first" r:id="rId8"/>
      <w:pgSz w:w="11905" w:h="16837"/>
      <w:pgMar w:top="1417" w:right="1701" w:bottom="1417" w:left="1701"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CB88E" w14:textId="77777777" w:rsidR="00933A32" w:rsidRDefault="00933A32" w:rsidP="006C543C">
      <w:r>
        <w:separator/>
      </w:r>
    </w:p>
  </w:endnote>
  <w:endnote w:type="continuationSeparator" w:id="0">
    <w:p w14:paraId="16360A60" w14:textId="77777777" w:rsidR="00933A32" w:rsidRDefault="00933A32" w:rsidP="006C5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BoldMT">
    <w:altName w:val="Arial"/>
    <w:panose1 w:val="020B0604020202020204"/>
    <w:charset w:val="00"/>
    <w:family w:val="roman"/>
    <w:notTrueType/>
    <w:pitch w:val="default"/>
    <w:sig w:usb0="00000003" w:usb1="00000000" w:usb2="00000000" w:usb3="00000000" w:csb0="00000001" w:csb1="00000000"/>
  </w:font>
  <w:font w:name="SymbolM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520419"/>
      <w:docPartObj>
        <w:docPartGallery w:val="Page Numbers (Bottom of Page)"/>
        <w:docPartUnique/>
      </w:docPartObj>
    </w:sdtPr>
    <w:sdtEndPr/>
    <w:sdtContent>
      <w:p w14:paraId="0F29DEA7" w14:textId="77777777" w:rsidR="00031E89" w:rsidRDefault="00031E89">
        <w:pPr>
          <w:pStyle w:val="Piedepgina"/>
          <w:jc w:val="center"/>
        </w:pPr>
        <w:r>
          <w:fldChar w:fldCharType="begin"/>
        </w:r>
        <w:r>
          <w:instrText>PAGE   \* MERGEFORMAT</w:instrText>
        </w:r>
        <w:r>
          <w:fldChar w:fldCharType="separate"/>
        </w:r>
        <w:r>
          <w:rPr>
            <w:lang w:val="es-ES"/>
          </w:rPr>
          <w:t>2</w:t>
        </w:r>
        <w:r>
          <w:fldChar w:fldCharType="end"/>
        </w:r>
      </w:p>
    </w:sdtContent>
  </w:sdt>
  <w:p w14:paraId="544F6E74" w14:textId="77777777" w:rsidR="00637089" w:rsidRDefault="00933A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9172992"/>
      <w:docPartObj>
        <w:docPartGallery w:val="Page Numbers (Bottom of Page)"/>
        <w:docPartUnique/>
      </w:docPartObj>
    </w:sdtPr>
    <w:sdtEndPr/>
    <w:sdtContent>
      <w:p w14:paraId="5D465C0A" w14:textId="77777777" w:rsidR="008E3DA3" w:rsidRDefault="008E3DA3">
        <w:pPr>
          <w:pStyle w:val="Piedepgina"/>
          <w:jc w:val="center"/>
        </w:pPr>
        <w:r>
          <w:fldChar w:fldCharType="begin"/>
        </w:r>
        <w:r>
          <w:instrText>PAGE   \* MERGEFORMAT</w:instrText>
        </w:r>
        <w:r>
          <w:fldChar w:fldCharType="separate"/>
        </w:r>
        <w:r>
          <w:rPr>
            <w:lang w:val="es-ES"/>
          </w:rPr>
          <w:t>2</w:t>
        </w:r>
        <w:r>
          <w:fldChar w:fldCharType="end"/>
        </w:r>
      </w:p>
    </w:sdtContent>
  </w:sdt>
  <w:p w14:paraId="6F45DB0C" w14:textId="77777777" w:rsidR="008E3DA3" w:rsidRDefault="008E3D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D42A0" w14:textId="77777777" w:rsidR="00933A32" w:rsidRDefault="00933A32" w:rsidP="006C543C">
      <w:r>
        <w:separator/>
      </w:r>
    </w:p>
  </w:footnote>
  <w:footnote w:type="continuationSeparator" w:id="0">
    <w:p w14:paraId="63E28D91" w14:textId="77777777" w:rsidR="00933A32" w:rsidRDefault="00933A32" w:rsidP="006C5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3E023" w14:textId="77777777" w:rsidR="0084445E" w:rsidRDefault="00C622C3" w:rsidP="0084445E">
    <w:pPr>
      <w:pStyle w:val="Encabezado"/>
      <w:jc w:val="center"/>
      <w:rPr>
        <w:sz w:val="20"/>
        <w:szCs w:val="20"/>
      </w:rPr>
    </w:pPr>
    <w:r w:rsidRPr="0084445E">
      <w:rPr>
        <w:sz w:val="20"/>
        <w:szCs w:val="20"/>
      </w:rPr>
      <w:t>DERECHO PROCESAL PENAL</w:t>
    </w:r>
  </w:p>
  <w:p w14:paraId="34BA6FCA" w14:textId="77777777" w:rsidR="0084445E" w:rsidRDefault="00933A32" w:rsidP="0084445E">
    <w:pPr>
      <w:pStyle w:val="Encabezado"/>
      <w:jc w:val="center"/>
      <w:rPr>
        <w:sz w:val="20"/>
        <w:szCs w:val="20"/>
      </w:rPr>
    </w:pPr>
  </w:p>
  <w:p w14:paraId="6F5F6063" w14:textId="77777777" w:rsidR="0084445E" w:rsidRPr="0084445E" w:rsidRDefault="00933A32" w:rsidP="0084445E">
    <w:pPr>
      <w:pStyle w:val="Encabezado"/>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3C"/>
    <w:rsid w:val="000300E3"/>
    <w:rsid w:val="00031E89"/>
    <w:rsid w:val="000571C2"/>
    <w:rsid w:val="00085A87"/>
    <w:rsid w:val="000A23DA"/>
    <w:rsid w:val="000A7698"/>
    <w:rsid w:val="000C5BEC"/>
    <w:rsid w:val="00135E0D"/>
    <w:rsid w:val="001728CD"/>
    <w:rsid w:val="00227E06"/>
    <w:rsid w:val="00250E80"/>
    <w:rsid w:val="002923B8"/>
    <w:rsid w:val="00294ED0"/>
    <w:rsid w:val="002C09DC"/>
    <w:rsid w:val="002E6409"/>
    <w:rsid w:val="002F62CC"/>
    <w:rsid w:val="0031146B"/>
    <w:rsid w:val="0039763C"/>
    <w:rsid w:val="003B0C21"/>
    <w:rsid w:val="003C442D"/>
    <w:rsid w:val="003F0D45"/>
    <w:rsid w:val="004258EE"/>
    <w:rsid w:val="0048744B"/>
    <w:rsid w:val="00495D9F"/>
    <w:rsid w:val="00626704"/>
    <w:rsid w:val="006C543C"/>
    <w:rsid w:val="007117A3"/>
    <w:rsid w:val="00734C79"/>
    <w:rsid w:val="0089084D"/>
    <w:rsid w:val="008B6BB1"/>
    <w:rsid w:val="008D1D16"/>
    <w:rsid w:val="008E3DA3"/>
    <w:rsid w:val="00933A32"/>
    <w:rsid w:val="009F5F98"/>
    <w:rsid w:val="00A0764E"/>
    <w:rsid w:val="00AF67E7"/>
    <w:rsid w:val="00B8153E"/>
    <w:rsid w:val="00BE271D"/>
    <w:rsid w:val="00BF648C"/>
    <w:rsid w:val="00C229CD"/>
    <w:rsid w:val="00C55321"/>
    <w:rsid w:val="00C622C3"/>
    <w:rsid w:val="00C63388"/>
    <w:rsid w:val="00CB04F9"/>
    <w:rsid w:val="00CE2F00"/>
    <w:rsid w:val="00D22A18"/>
    <w:rsid w:val="00D524C2"/>
    <w:rsid w:val="00DC1402"/>
    <w:rsid w:val="00E76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D53B0"/>
  <w15:chartTrackingRefBased/>
  <w15:docId w15:val="{562BC0D3-F9A6-4783-A3F2-CE5328D6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3C"/>
    <w:pPr>
      <w:suppressAutoHyphens/>
      <w:spacing w:after="0" w:line="240" w:lineRule="auto"/>
    </w:pPr>
    <w:rPr>
      <w:rFonts w:ascii="Times New Roman" w:eastAsia="Times New Roman" w:hAnsi="Times New Roman" w:cs="Times New Roman"/>
      <w:sz w:val="24"/>
      <w:szCs w:val="24"/>
      <w:lang w:val="es-ES_tradnl" w:eastAsia="ar-SA"/>
    </w:rPr>
  </w:style>
  <w:style w:type="paragraph" w:styleId="Ttulo3">
    <w:name w:val="heading 3"/>
    <w:basedOn w:val="Normal"/>
    <w:next w:val="Normal"/>
    <w:link w:val="Ttulo3Car"/>
    <w:uiPriority w:val="9"/>
    <w:semiHidden/>
    <w:unhideWhenUsed/>
    <w:qFormat/>
    <w:rsid w:val="000571C2"/>
    <w:pPr>
      <w:keepNext/>
      <w:keepLines/>
      <w:spacing w:before="40"/>
      <w:outlineLvl w:val="2"/>
    </w:pPr>
    <w:rPr>
      <w:rFonts w:asciiTheme="majorHAnsi" w:eastAsiaTheme="majorEastAsia" w:hAnsiTheme="majorHAnsi" w:cstheme="majorBidi"/>
      <w:color w:val="1F3763" w:themeColor="accent1" w:themeShade="7F"/>
    </w:rPr>
  </w:style>
  <w:style w:type="paragraph" w:styleId="Ttulo5">
    <w:name w:val="heading 5"/>
    <w:basedOn w:val="Normal"/>
    <w:link w:val="Ttulo5Car"/>
    <w:uiPriority w:val="9"/>
    <w:qFormat/>
    <w:rsid w:val="002923B8"/>
    <w:pPr>
      <w:suppressAutoHyphens w:val="0"/>
      <w:spacing w:before="100" w:beforeAutospacing="1" w:after="100" w:afterAutospacing="1"/>
      <w:outlineLvl w:val="4"/>
    </w:pPr>
    <w:rPr>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6C543C"/>
    <w:rPr>
      <w:vertAlign w:val="superscript"/>
    </w:rPr>
  </w:style>
  <w:style w:type="paragraph" w:styleId="Encabezado">
    <w:name w:val="header"/>
    <w:basedOn w:val="Normal"/>
    <w:link w:val="EncabezadoCar"/>
    <w:rsid w:val="006C543C"/>
    <w:pPr>
      <w:tabs>
        <w:tab w:val="center" w:pos="4252"/>
        <w:tab w:val="right" w:pos="8504"/>
      </w:tabs>
    </w:pPr>
  </w:style>
  <w:style w:type="character" w:customStyle="1" w:styleId="EncabezadoCar">
    <w:name w:val="Encabezado Car"/>
    <w:basedOn w:val="Fuentedeprrafopredeter"/>
    <w:link w:val="Encabezado"/>
    <w:rsid w:val="006C543C"/>
    <w:rPr>
      <w:rFonts w:ascii="Times New Roman" w:eastAsia="Times New Roman" w:hAnsi="Times New Roman" w:cs="Times New Roman"/>
      <w:sz w:val="24"/>
      <w:szCs w:val="24"/>
      <w:lang w:val="es-ES_tradnl" w:eastAsia="ar-SA"/>
    </w:rPr>
  </w:style>
  <w:style w:type="paragraph" w:styleId="Piedepgina">
    <w:name w:val="footer"/>
    <w:basedOn w:val="Normal"/>
    <w:link w:val="PiedepginaCar"/>
    <w:uiPriority w:val="99"/>
    <w:rsid w:val="006C543C"/>
    <w:pPr>
      <w:tabs>
        <w:tab w:val="center" w:pos="4252"/>
        <w:tab w:val="right" w:pos="8504"/>
      </w:tabs>
    </w:pPr>
  </w:style>
  <w:style w:type="character" w:customStyle="1" w:styleId="PiedepginaCar">
    <w:name w:val="Pie de página Car"/>
    <w:basedOn w:val="Fuentedeprrafopredeter"/>
    <w:link w:val="Piedepgina"/>
    <w:uiPriority w:val="99"/>
    <w:rsid w:val="006C543C"/>
    <w:rPr>
      <w:rFonts w:ascii="Times New Roman" w:eastAsia="Times New Roman" w:hAnsi="Times New Roman" w:cs="Times New Roman"/>
      <w:sz w:val="24"/>
      <w:szCs w:val="24"/>
      <w:lang w:val="es-ES_tradnl" w:eastAsia="ar-SA"/>
    </w:rPr>
  </w:style>
  <w:style w:type="paragraph" w:styleId="Textonotapie">
    <w:name w:val="footnote text"/>
    <w:basedOn w:val="Normal"/>
    <w:link w:val="TextonotapieCar"/>
    <w:semiHidden/>
    <w:rsid w:val="006C543C"/>
    <w:pPr>
      <w:suppressLineNumbers/>
      <w:ind w:left="283" w:hanging="283"/>
    </w:pPr>
    <w:rPr>
      <w:sz w:val="20"/>
      <w:szCs w:val="20"/>
    </w:rPr>
  </w:style>
  <w:style w:type="character" w:customStyle="1" w:styleId="TextonotapieCar">
    <w:name w:val="Texto nota pie Car"/>
    <w:basedOn w:val="Fuentedeprrafopredeter"/>
    <w:link w:val="Textonotapie"/>
    <w:semiHidden/>
    <w:rsid w:val="006C543C"/>
    <w:rPr>
      <w:rFonts w:ascii="Times New Roman" w:eastAsia="Times New Roman" w:hAnsi="Times New Roman" w:cs="Times New Roman"/>
      <w:sz w:val="20"/>
      <w:szCs w:val="20"/>
      <w:lang w:val="es-ES_tradnl" w:eastAsia="ar-SA"/>
    </w:rPr>
  </w:style>
  <w:style w:type="character" w:styleId="Refdecomentario">
    <w:name w:val="annotation reference"/>
    <w:basedOn w:val="Fuentedeprrafopredeter"/>
    <w:uiPriority w:val="99"/>
    <w:semiHidden/>
    <w:unhideWhenUsed/>
    <w:rsid w:val="00031E89"/>
    <w:rPr>
      <w:sz w:val="16"/>
      <w:szCs w:val="16"/>
    </w:rPr>
  </w:style>
  <w:style w:type="paragraph" w:styleId="Textocomentario">
    <w:name w:val="annotation text"/>
    <w:basedOn w:val="Normal"/>
    <w:link w:val="TextocomentarioCar"/>
    <w:uiPriority w:val="99"/>
    <w:semiHidden/>
    <w:unhideWhenUsed/>
    <w:rsid w:val="00031E89"/>
    <w:rPr>
      <w:sz w:val="20"/>
      <w:szCs w:val="20"/>
    </w:rPr>
  </w:style>
  <w:style w:type="character" w:customStyle="1" w:styleId="TextocomentarioCar">
    <w:name w:val="Texto comentario Car"/>
    <w:basedOn w:val="Fuentedeprrafopredeter"/>
    <w:link w:val="Textocomentario"/>
    <w:uiPriority w:val="99"/>
    <w:semiHidden/>
    <w:rsid w:val="00031E89"/>
    <w:rPr>
      <w:rFonts w:ascii="Times New Roman" w:eastAsia="Times New Roman" w:hAnsi="Times New Roman" w:cs="Times New Roman"/>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031E89"/>
    <w:rPr>
      <w:b/>
      <w:bCs/>
    </w:rPr>
  </w:style>
  <w:style w:type="character" w:customStyle="1" w:styleId="AsuntodelcomentarioCar">
    <w:name w:val="Asunto del comentario Car"/>
    <w:basedOn w:val="TextocomentarioCar"/>
    <w:link w:val="Asuntodelcomentario"/>
    <w:uiPriority w:val="99"/>
    <w:semiHidden/>
    <w:rsid w:val="00031E89"/>
    <w:rPr>
      <w:rFonts w:ascii="Times New Roman" w:eastAsia="Times New Roman" w:hAnsi="Times New Roman" w:cs="Times New Roman"/>
      <w:b/>
      <w:bCs/>
      <w:sz w:val="20"/>
      <w:szCs w:val="20"/>
      <w:lang w:val="es-ES_tradnl" w:eastAsia="ar-SA"/>
    </w:rPr>
  </w:style>
  <w:style w:type="paragraph" w:styleId="Textodeglobo">
    <w:name w:val="Balloon Text"/>
    <w:basedOn w:val="Normal"/>
    <w:link w:val="TextodegloboCar"/>
    <w:uiPriority w:val="99"/>
    <w:semiHidden/>
    <w:unhideWhenUsed/>
    <w:rsid w:val="00031E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1E89"/>
    <w:rPr>
      <w:rFonts w:ascii="Segoe UI" w:eastAsia="Times New Roman" w:hAnsi="Segoe UI" w:cs="Segoe UI"/>
      <w:sz w:val="18"/>
      <w:szCs w:val="18"/>
      <w:lang w:val="es-ES_tradnl" w:eastAsia="ar-SA"/>
    </w:rPr>
  </w:style>
  <w:style w:type="character" w:customStyle="1" w:styleId="Ttulo5Car">
    <w:name w:val="Título 5 Car"/>
    <w:basedOn w:val="Fuentedeprrafopredeter"/>
    <w:link w:val="Ttulo5"/>
    <w:uiPriority w:val="9"/>
    <w:rsid w:val="002923B8"/>
    <w:rPr>
      <w:rFonts w:ascii="Times New Roman" w:eastAsia="Times New Roman" w:hAnsi="Times New Roman" w:cs="Times New Roman"/>
      <w:b/>
      <w:bCs/>
      <w:sz w:val="20"/>
      <w:szCs w:val="20"/>
      <w:lang w:eastAsia="es-ES"/>
    </w:rPr>
  </w:style>
  <w:style w:type="paragraph" w:customStyle="1" w:styleId="parrafo">
    <w:name w:val="parrafo"/>
    <w:basedOn w:val="Normal"/>
    <w:rsid w:val="002923B8"/>
    <w:pPr>
      <w:suppressAutoHyphens w:val="0"/>
      <w:spacing w:before="100" w:beforeAutospacing="1" w:after="100" w:afterAutospacing="1"/>
    </w:pPr>
    <w:rPr>
      <w:lang w:val="es-ES" w:eastAsia="es-ES"/>
    </w:rPr>
  </w:style>
  <w:style w:type="paragraph" w:customStyle="1" w:styleId="parrafo2">
    <w:name w:val="parrafo_2"/>
    <w:basedOn w:val="Normal"/>
    <w:rsid w:val="002923B8"/>
    <w:pPr>
      <w:suppressAutoHyphens w:val="0"/>
      <w:spacing w:before="100" w:beforeAutospacing="1" w:after="100" w:afterAutospacing="1"/>
    </w:pPr>
    <w:rPr>
      <w:lang w:val="es-ES" w:eastAsia="es-ES"/>
    </w:rPr>
  </w:style>
  <w:style w:type="paragraph" w:customStyle="1" w:styleId="sangradoarticulo">
    <w:name w:val="sangrado_articulo"/>
    <w:basedOn w:val="Normal"/>
    <w:rsid w:val="002923B8"/>
    <w:pPr>
      <w:suppressAutoHyphens w:val="0"/>
      <w:spacing w:before="100" w:beforeAutospacing="1" w:after="100" w:afterAutospacing="1"/>
    </w:pPr>
    <w:rPr>
      <w:lang w:val="es-ES" w:eastAsia="es-ES"/>
    </w:rPr>
  </w:style>
  <w:style w:type="paragraph" w:customStyle="1" w:styleId="sangrado">
    <w:name w:val="sangrado"/>
    <w:basedOn w:val="Normal"/>
    <w:rsid w:val="002923B8"/>
    <w:pPr>
      <w:suppressAutoHyphens w:val="0"/>
      <w:spacing w:before="100" w:beforeAutospacing="1" w:after="100" w:afterAutospacing="1"/>
    </w:pPr>
    <w:rPr>
      <w:lang w:val="es-ES" w:eastAsia="es-ES"/>
    </w:rPr>
  </w:style>
  <w:style w:type="paragraph" w:customStyle="1" w:styleId="sangrado2">
    <w:name w:val="sangrado_2"/>
    <w:basedOn w:val="Normal"/>
    <w:rsid w:val="002923B8"/>
    <w:pPr>
      <w:suppressAutoHyphens w:val="0"/>
      <w:spacing w:before="100" w:beforeAutospacing="1" w:after="100" w:afterAutospacing="1"/>
    </w:pPr>
    <w:rPr>
      <w:lang w:val="es-ES" w:eastAsia="es-ES"/>
    </w:rPr>
  </w:style>
  <w:style w:type="character" w:customStyle="1" w:styleId="Ttulo3Car">
    <w:name w:val="Título 3 Car"/>
    <w:basedOn w:val="Fuentedeprrafopredeter"/>
    <w:link w:val="Ttulo3"/>
    <w:uiPriority w:val="9"/>
    <w:semiHidden/>
    <w:rsid w:val="000571C2"/>
    <w:rPr>
      <w:rFonts w:asciiTheme="majorHAnsi" w:eastAsiaTheme="majorEastAsia" w:hAnsiTheme="majorHAnsi" w:cstheme="majorBidi"/>
      <w:color w:val="1F3763" w:themeColor="accent1" w:themeShade="7F"/>
      <w:sz w:val="24"/>
      <w:szCs w:val="24"/>
      <w:lang w:val="es-ES_tradnl" w:eastAsia="ar-SA"/>
    </w:rPr>
  </w:style>
  <w:style w:type="paragraph" w:customStyle="1" w:styleId="Default">
    <w:name w:val="Default"/>
    <w:rsid w:val="000A769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418708">
      <w:bodyDiv w:val="1"/>
      <w:marLeft w:val="0"/>
      <w:marRight w:val="0"/>
      <w:marTop w:val="0"/>
      <w:marBottom w:val="0"/>
      <w:divBdr>
        <w:top w:val="none" w:sz="0" w:space="0" w:color="auto"/>
        <w:left w:val="none" w:sz="0" w:space="0" w:color="auto"/>
        <w:bottom w:val="none" w:sz="0" w:space="0" w:color="auto"/>
        <w:right w:val="none" w:sz="0" w:space="0" w:color="auto"/>
      </w:divBdr>
    </w:div>
    <w:div w:id="21322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9891</Words>
  <Characters>54402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Martinez Jimenez</dc:creator>
  <cp:keywords/>
  <dc:description/>
  <cp:lastModifiedBy>Paula Vazquez Maicas</cp:lastModifiedBy>
  <cp:revision>2</cp:revision>
  <cp:lastPrinted>2020-07-30T08:58:00Z</cp:lastPrinted>
  <dcterms:created xsi:type="dcterms:W3CDTF">2021-06-16T08:47:00Z</dcterms:created>
  <dcterms:modified xsi:type="dcterms:W3CDTF">2021-06-16T08:47:00Z</dcterms:modified>
</cp:coreProperties>
</file>